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567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Инструкция по получения квалифицированной электронной подписи для физического лица</w:t>
      </w:r>
      <w:r>
        <w:rPr>
          <w:rFonts w:ascii="Times New Roman" w:hAnsi="Times New Roman" w:cs="Times New Roman"/>
          <w:b/>
          <w:sz w:val="32"/>
          <w:szCs w:val="32"/>
          <w:lang w:val="en-US"/>
        </w:rPr>
      </w:r>
    </w:p>
    <w:p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ind w:firstLine="709"/>
        <w:jc w:val="both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C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01.04.2025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станет обязательным использование цифрового контракта при заключении контрактов с единственным поставщиком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Для подписания такого контракта физическому лицу необходимо получить квалифицированную электронную подпись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(далее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КЭП). Получить КЭП можно в любом аккредитованном удостоверяющем центре, список которых размещен на сайте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Минцифры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РФ (</w:t>
      </w:r>
      <w:hyperlink r:id="rId10" w:tooltip="https://adm.digital.gov.ru/app/uploads/2025/02/perechen-akkreditovannyh-udostoveryayushhih-czentrov-na-07.02.2025.xlsx" w:history="1">
        <w:r>
          <w:rPr>
            <w:rStyle w:val="623"/>
            <w:rFonts w:ascii="Times New Roman" w:hAnsi="Times New Roman" w:cs="Times New Roman"/>
            <w:color w:val="2f5496" w:themeColor="accent5" w:themeShade="BF"/>
            <w:sz w:val="24"/>
            <w:szCs w:val="24"/>
            <w:shd w:val="clear" w:color="auto" w:fill="ffffff"/>
          </w:rPr>
          <w:t xml:space="preserve">список удостоверяю</w:t>
        </w:r>
        <w:r>
          <w:rPr>
            <w:rStyle w:val="623"/>
            <w:rFonts w:ascii="Times New Roman" w:hAnsi="Times New Roman" w:cs="Times New Roman"/>
            <w:color w:val="2f5496" w:themeColor="accent5" w:themeShade="BF"/>
            <w:sz w:val="24"/>
            <w:szCs w:val="24"/>
            <w:shd w:val="clear" w:color="auto" w:fill="ffffff"/>
          </w:rPr>
          <w:t xml:space="preserve">щ</w:t>
        </w:r>
        <w:r>
          <w:rPr>
            <w:rStyle w:val="623"/>
            <w:rFonts w:ascii="Times New Roman" w:hAnsi="Times New Roman" w:cs="Times New Roman"/>
            <w:color w:val="2f5496" w:themeColor="accent5" w:themeShade="BF"/>
            <w:sz w:val="24"/>
            <w:szCs w:val="24"/>
            <w:shd w:val="clear" w:color="auto" w:fill="ffffff"/>
          </w:rPr>
          <w:t xml:space="preserve">их центров</w:t>
        </w:r>
      </w:hyperlink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 xml:space="preserve">Основные требование к КЭП: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</w:r>
    </w:p>
    <w:p>
      <w:pPr>
        <w:pStyle w:val="625"/>
        <w:numPr>
          <w:ilvl w:val="0"/>
          <w:numId w:val="1"/>
        </w:numPr>
        <w:ind w:left="1134" w:hanging="425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</w:t>
      </w:r>
      <w:r>
        <w:rPr>
          <w:rFonts w:ascii="Times New Roman" w:hAnsi="Times New Roman" w:cs="Times New Roman"/>
          <w:sz w:val="24"/>
          <w:szCs w:val="24"/>
        </w:rPr>
        <w:t xml:space="preserve">олжна быть выпущена на физическое лицо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numPr>
          <w:ilvl w:val="0"/>
          <w:numId w:val="1"/>
        </w:numPr>
        <w:ind w:left="1134" w:hanging="425"/>
        <w:jc w:val="both"/>
        <w:spacing w:line="360" w:lineRule="auto"/>
        <w:tabs>
          <w:tab w:val="left" w:pos="85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Должна подходить для участия в торгах на федеральных торговых </w:t>
      </w:r>
      <w:r>
        <w:rPr>
          <w:rFonts w:ascii="Times New Roman" w:hAnsi="Times New Roman" w:cs="Times New Roman"/>
          <w:sz w:val="24"/>
          <w:szCs w:val="24"/>
        </w:rPr>
        <w:t xml:space="preserve">п</w:t>
      </w:r>
      <w:r>
        <w:rPr>
          <w:rFonts w:ascii="Times New Roman" w:hAnsi="Times New Roman" w:cs="Times New Roman"/>
          <w:sz w:val="24"/>
          <w:szCs w:val="24"/>
        </w:rPr>
        <w:t xml:space="preserve">лощадках </w:t>
      </w:r>
      <w:r>
        <w:rPr>
          <w:rFonts w:ascii="Times New Roman" w:hAnsi="Times New Roman" w:cs="Times New Roman"/>
          <w:sz w:val="24"/>
          <w:szCs w:val="24"/>
        </w:rPr>
        <w:t xml:space="preserve">в качестве поставщика по 44-ФЗ.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ind w:left="0" w:firstLine="567"/>
        <w:jc w:val="both"/>
        <w:spacing w:line="360" w:lineRule="auto"/>
        <w:tabs>
          <w:tab w:val="left" w:pos="85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ind w:left="0" w:firstLine="709"/>
        <w:jc w:val="both"/>
        <w:spacing w:line="360" w:lineRule="auto"/>
        <w:tabs>
          <w:tab w:val="left" w:pos="85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Рассмотрим пример получение</w:t>
      </w:r>
      <w:r>
        <w:rPr>
          <w:rFonts w:ascii="Times New Roman" w:hAnsi="Times New Roman" w:cs="Times New Roman"/>
          <w:sz w:val="24"/>
          <w:szCs w:val="24"/>
        </w:rPr>
        <w:t xml:space="preserve"> КЭП, выбрав из списка удостоверяющих центров </w:t>
      </w:r>
      <w:r>
        <w:rPr>
          <w:rFonts w:ascii="Times New Roman" w:hAnsi="Times New Roman" w:cs="Times New Roman"/>
          <w:sz w:val="24"/>
          <w:szCs w:val="24"/>
        </w:rPr>
        <w:t xml:space="preserve">СберКорус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ind w:left="0" w:firstLine="709"/>
        <w:jc w:val="both"/>
        <w:spacing w:line="360" w:lineRule="auto"/>
        <w:tabs>
          <w:tab w:val="left" w:pos="851" w:leader="none"/>
        </w:tabs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Переходим по ссылке </w:t>
      </w:r>
      <w:hyperlink r:id="rId11" w:tooltip="https://www.esphere.ru" w:history="1">
        <w:r>
          <w:rPr>
            <w:rStyle w:val="623"/>
            <w:rFonts w:ascii="Times New Roman" w:hAnsi="Times New Roman" w:cs="Times New Roman"/>
            <w:color w:val="034990" w:themeColor="hyperlink" w:themeShade="BF"/>
            <w:sz w:val="24"/>
            <w:szCs w:val="24"/>
          </w:rPr>
          <w:t xml:space="preserve">https://www.esphere.ru</w:t>
        </w:r>
      </w:hyperlink>
      <w:r/>
      <w:r>
        <w:rPr>
          <w:rFonts w:ascii="Times New Roman" w:hAnsi="Times New Roman" w:cs="Times New Roman"/>
          <w:color w:val="2f5496" w:themeColor="accent5" w:themeShade="BF"/>
          <w:sz w:val="24"/>
          <w:szCs w:val="24"/>
        </w:rPr>
      </w:r>
    </w:p>
    <w:p>
      <w:pPr>
        <w:pStyle w:val="625"/>
        <w:ind w:left="0" w:firstLine="709"/>
        <w:jc w:val="both"/>
        <w:spacing w:line="360" w:lineRule="auto"/>
        <w:tabs>
          <w:tab w:val="left" w:pos="85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Выбираем </w:t>
      </w:r>
      <w:r>
        <w:rPr>
          <w:rFonts w:ascii="Times New Roman" w:hAnsi="Times New Roman" w:cs="Times New Roman"/>
          <w:b/>
          <w:sz w:val="24"/>
          <w:szCs w:val="24"/>
        </w:rPr>
        <w:t xml:space="preserve">«Продукты</w:t>
      </w:r>
      <w:r>
        <w:rPr>
          <w:rFonts w:ascii="Times New Roman" w:hAnsi="Times New Roman" w:cs="Times New Roman"/>
          <w:sz w:val="24"/>
          <w:szCs w:val="24"/>
        </w:rPr>
        <w:t xml:space="preserve">», далее выбираем </w:t>
      </w:r>
      <w:r>
        <w:rPr>
          <w:rFonts w:ascii="Times New Roman" w:hAnsi="Times New Roman" w:cs="Times New Roman"/>
          <w:b/>
          <w:sz w:val="24"/>
          <w:szCs w:val="24"/>
        </w:rPr>
        <w:t xml:space="preserve">«Электронная подпись»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36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ind w:left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122295"/>
                <wp:effectExtent l="0" t="0" r="3175" b="1905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40425" cy="31222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245.85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ind w:left="0" w:firstLine="70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ind w:left="0" w:firstLine="70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нажимаем </w:t>
      </w:r>
      <w:r>
        <w:rPr>
          <w:rFonts w:ascii="Times New Roman" w:hAnsi="Times New Roman" w:cs="Times New Roman"/>
          <w:b/>
          <w:sz w:val="24"/>
          <w:szCs w:val="24"/>
        </w:rPr>
        <w:t xml:space="preserve">«Подробнее»</w:t>
      </w:r>
      <w:r>
        <w:rPr>
          <w:rFonts w:ascii="Times New Roman" w:hAnsi="Times New Roman" w:cs="Times New Roman"/>
          <w:b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ind w:left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122930"/>
                <wp:effectExtent l="0" t="0" r="3175" b="1270"/>
                <wp:docPr id="2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40425" cy="31229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5pt;height:245.90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ind w:left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ind w:left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ind w:left="0" w:firstLine="70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кликаем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«Заказать подпись»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115310"/>
                <wp:effectExtent l="0" t="0" r="3175" b="8890"/>
                <wp:docPr id="3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5" cy="31153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75pt;height:245.30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ind w:left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ind w:left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ind w:left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ind w:left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ind w:left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ind w:left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ind w:left="0" w:firstLine="709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Выбираем </w:t>
      </w:r>
      <w:r>
        <w:rPr>
          <w:rFonts w:ascii="Times New Roman" w:hAnsi="Times New Roman" w:cs="Times New Roman"/>
          <w:b/>
          <w:sz w:val="24"/>
          <w:szCs w:val="24"/>
        </w:rPr>
        <w:t xml:space="preserve">«Электронная подпись физлица на 12 месяцев»</w:t>
      </w:r>
      <w:r>
        <w:rPr>
          <w:rFonts w:ascii="Times New Roman" w:hAnsi="Times New Roman" w:cs="Times New Roman"/>
          <w:sz w:val="24"/>
          <w:szCs w:val="24"/>
        </w:rPr>
        <w:t xml:space="preserve"> и нажимаем </w:t>
      </w:r>
      <w:r>
        <w:rPr>
          <w:rFonts w:ascii="Times New Roman" w:hAnsi="Times New Roman" w:cs="Times New Roman"/>
          <w:b/>
          <w:sz w:val="24"/>
          <w:szCs w:val="24"/>
        </w:rPr>
        <w:t xml:space="preserve">«Заказать»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ind w:left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103880"/>
                <wp:effectExtent l="0" t="0" r="3175" b="1270"/>
                <wp:docPr id="4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940425" cy="3103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75pt;height:244.40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ind w:left="0" w:firstLine="709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следующем этапе </w:t>
      </w:r>
      <w:r>
        <w:rPr>
          <w:rFonts w:ascii="Times New Roman" w:hAnsi="Times New Roman" w:cs="Times New Roman"/>
          <w:sz w:val="24"/>
          <w:szCs w:val="24"/>
        </w:rPr>
        <w:t xml:space="preserve">заполняем</w:t>
      </w:r>
      <w:r>
        <w:rPr>
          <w:rFonts w:ascii="Times New Roman" w:hAnsi="Times New Roman" w:cs="Times New Roman"/>
          <w:sz w:val="24"/>
          <w:szCs w:val="24"/>
        </w:rPr>
        <w:t xml:space="preserve"> личные данные, </w:t>
      </w:r>
      <w:r>
        <w:rPr>
          <w:rFonts w:ascii="Times New Roman" w:hAnsi="Times New Roman" w:cs="Times New Roman"/>
          <w:sz w:val="24"/>
          <w:szCs w:val="24"/>
        </w:rPr>
        <w:t xml:space="preserve">выбираем</w:t>
      </w:r>
      <w:r>
        <w:rPr>
          <w:rFonts w:ascii="Times New Roman" w:hAnsi="Times New Roman" w:cs="Times New Roman"/>
          <w:b/>
          <w:sz w:val="24"/>
          <w:szCs w:val="24"/>
        </w:rPr>
        <w:t xml:space="preserve"> «Электронная подпись физлица для любых целей»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«Встроенная лицензия </w:t>
      </w:r>
      <w:r>
        <w:rPr>
          <w:rFonts w:ascii="Times New Roman" w:hAnsi="Times New Roman" w:cs="Times New Roman"/>
          <w:b/>
          <w:sz w:val="24"/>
          <w:szCs w:val="24"/>
        </w:rPr>
        <w:t xml:space="preserve">КриптоПро</w:t>
      </w:r>
      <w:r>
        <w:rPr>
          <w:rFonts w:ascii="Times New Roman" w:hAnsi="Times New Roman" w:cs="Times New Roman"/>
          <w:b/>
          <w:sz w:val="24"/>
          <w:szCs w:val="24"/>
        </w:rPr>
        <w:t xml:space="preserve"> CSP на 12 месяцев»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b/>
          <w:sz w:val="24"/>
          <w:szCs w:val="24"/>
        </w:rPr>
        <w:t xml:space="preserve">«</w:t>
      </w:r>
      <w:r>
        <w:rPr>
          <w:rFonts w:ascii="Times New Roman" w:hAnsi="Times New Roman" w:cs="Times New Roman"/>
          <w:b/>
          <w:sz w:val="24"/>
          <w:szCs w:val="24"/>
        </w:rPr>
        <w:t xml:space="preserve">Рутокен</w:t>
      </w:r>
      <w:r>
        <w:rPr>
          <w:rFonts w:ascii="Times New Roman" w:hAnsi="Times New Roman" w:cs="Times New Roman"/>
          <w:b/>
          <w:sz w:val="24"/>
          <w:szCs w:val="24"/>
        </w:rPr>
        <w:t xml:space="preserve"> ЭЦП 3.0»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ind w:left="0" w:firstLine="709"/>
        <w:jc w:val="bot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необходимости можно добавить дополнительные возможности сертификата и дополнительные услуги. Но для работы в ЕИС уже выбранных услуг достаточно.</w:t>
      </w:r>
      <w:r>
        <w:rPr>
          <w:rFonts w:ascii="Times New Roman" w:hAnsi="Times New Roman" w:cs="Times New Roman"/>
          <w:sz w:val="24"/>
          <w:szCs w:val="24"/>
        </w:rPr>
        <w:t xml:space="preserve"> Далее необходимо выбрать спо</w:t>
      </w:r>
      <w:r>
        <w:rPr>
          <w:rFonts w:ascii="Times New Roman" w:hAnsi="Times New Roman" w:cs="Times New Roman"/>
          <w:sz w:val="24"/>
          <w:szCs w:val="24"/>
        </w:rPr>
        <w:t xml:space="preserve">с</w:t>
      </w:r>
      <w:bookmarkStart w:id="0" w:name="_GoBack"/>
      <w:r/>
      <w:bookmarkEnd w:id="0"/>
      <w:r>
        <w:rPr>
          <w:rFonts w:ascii="Times New Roman" w:hAnsi="Times New Roman" w:cs="Times New Roman"/>
          <w:sz w:val="24"/>
          <w:szCs w:val="24"/>
        </w:rPr>
        <w:t xml:space="preserve">об оплаты </w:t>
      </w:r>
      <w:r>
        <w:rPr>
          <w:rFonts w:ascii="Times New Roman" w:hAnsi="Times New Roman" w:cs="Times New Roman"/>
          <w:b/>
          <w:sz w:val="24"/>
          <w:szCs w:val="24"/>
        </w:rPr>
        <w:t xml:space="preserve">«По банковской карте»</w:t>
      </w:r>
      <w:r>
        <w:rPr>
          <w:rFonts w:ascii="Times New Roman" w:hAnsi="Times New Roman" w:cs="Times New Roman"/>
          <w:sz w:val="24"/>
          <w:szCs w:val="24"/>
        </w:rPr>
        <w:t xml:space="preserve"> и способ получения ЭП. </w:t>
      </w:r>
      <w:r>
        <w:rPr>
          <w:rFonts w:ascii="Times New Roman" w:hAnsi="Times New Roman" w:cs="Times New Roman"/>
          <w:sz w:val="24"/>
          <w:szCs w:val="24"/>
        </w:rPr>
        <w:t xml:space="preserve">Т.к. офисов </w:t>
      </w:r>
      <w:r>
        <w:rPr>
          <w:rFonts w:ascii="Times New Roman" w:hAnsi="Times New Roman" w:cs="Times New Roman"/>
          <w:sz w:val="24"/>
          <w:szCs w:val="24"/>
        </w:rPr>
        <w:t xml:space="preserve">СберКорус</w:t>
      </w:r>
      <w:r>
        <w:rPr>
          <w:rFonts w:ascii="Times New Roman" w:hAnsi="Times New Roman" w:cs="Times New Roman"/>
          <w:sz w:val="24"/>
          <w:szCs w:val="24"/>
        </w:rPr>
        <w:t xml:space="preserve"> в Казани нет, выбираем способ получения ЭП «Безопасная доставка ФГУП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Спецсвязь».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ind w:left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ind w:left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10050" cy="8059444"/>
                <wp:effectExtent l="0" t="0" r="0" b="0"/>
                <wp:docPr id="5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4216556" cy="8071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31.50pt;height:634.60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ind w:left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ind w:left="0" w:firstLine="70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заполнения всех необходимых полей установите галочку на согласие об </w:t>
      </w:r>
      <w:r>
        <w:rPr>
          <w:rFonts w:ascii="Times New Roman" w:hAnsi="Times New Roman" w:cs="Times New Roman"/>
          <w:sz w:val="24"/>
          <w:szCs w:val="24"/>
        </w:rPr>
        <w:t xml:space="preserve">о</w:t>
      </w:r>
      <w:r>
        <w:rPr>
          <w:rFonts w:ascii="Times New Roman" w:hAnsi="Times New Roman" w:cs="Times New Roman"/>
          <w:sz w:val="24"/>
          <w:szCs w:val="24"/>
        </w:rPr>
        <w:t xml:space="preserve">бработке персональных данных и нажимаете «Отправить».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ind w:left="0" w:firstLine="70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Заявка отправлена. Далее необходимо ожидать обратной связи от </w:t>
      </w:r>
      <w:r>
        <w:rPr>
          <w:rFonts w:ascii="Times New Roman" w:hAnsi="Times New Roman" w:cs="Times New Roman"/>
          <w:sz w:val="24"/>
          <w:szCs w:val="24"/>
        </w:rPr>
        <w:t xml:space="preserve">СберКорус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Roboto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ascii="Roboto" w:hAnsi="Roboto"/>
        <w:color w:val="334059"/>
        <w:sz w:val="26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9"/>
    <w:next w:val="619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20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9"/>
    <w:next w:val="619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20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9"/>
    <w:next w:val="619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20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9"/>
    <w:next w:val="619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20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9"/>
    <w:next w:val="619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20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9"/>
    <w:next w:val="619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20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9"/>
    <w:next w:val="619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20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9"/>
    <w:next w:val="619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20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9"/>
    <w:next w:val="619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20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9"/>
    <w:next w:val="619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20"/>
    <w:link w:val="34"/>
    <w:uiPriority w:val="10"/>
    <w:rPr>
      <w:sz w:val="48"/>
      <w:szCs w:val="48"/>
    </w:rPr>
  </w:style>
  <w:style w:type="paragraph" w:styleId="36">
    <w:name w:val="Subtitle"/>
    <w:basedOn w:val="619"/>
    <w:next w:val="619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20"/>
    <w:link w:val="36"/>
    <w:uiPriority w:val="11"/>
    <w:rPr>
      <w:sz w:val="24"/>
      <w:szCs w:val="24"/>
    </w:rPr>
  </w:style>
  <w:style w:type="paragraph" w:styleId="38">
    <w:name w:val="Quote"/>
    <w:basedOn w:val="619"/>
    <w:next w:val="619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9"/>
    <w:next w:val="619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9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20"/>
    <w:link w:val="42"/>
    <w:uiPriority w:val="99"/>
  </w:style>
  <w:style w:type="paragraph" w:styleId="44">
    <w:name w:val="Footer"/>
    <w:basedOn w:val="619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20"/>
    <w:link w:val="44"/>
    <w:uiPriority w:val="99"/>
  </w:style>
  <w:style w:type="paragraph" w:styleId="46">
    <w:name w:val="Caption"/>
    <w:basedOn w:val="619"/>
    <w:next w:val="619"/>
    <w:link w:val="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620"/>
    <w:link w:val="46"/>
    <w:uiPriority w:val="35"/>
    <w:rPr>
      <w:b/>
      <w:bCs/>
      <w:color w:val="4f81bd" w:themeColor="accent1"/>
      <w:sz w:val="18"/>
      <w:szCs w:val="18"/>
    </w:rPr>
  </w:style>
  <w:style w:type="table" w:styleId="48">
    <w:name w:val="Table Grid"/>
    <w:basedOn w:val="62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2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2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2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2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2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2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19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20"/>
    <w:uiPriority w:val="99"/>
    <w:unhideWhenUsed/>
    <w:rPr>
      <w:vertAlign w:val="superscript"/>
    </w:rPr>
  </w:style>
  <w:style w:type="paragraph" w:styleId="178">
    <w:name w:val="endnote text"/>
    <w:basedOn w:val="619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20"/>
    <w:uiPriority w:val="99"/>
    <w:semiHidden/>
    <w:unhideWhenUsed/>
    <w:rPr>
      <w:vertAlign w:val="superscript"/>
    </w:rPr>
  </w:style>
  <w:style w:type="paragraph" w:styleId="181">
    <w:name w:val="toc 1"/>
    <w:basedOn w:val="619"/>
    <w:next w:val="619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9"/>
    <w:next w:val="619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9"/>
    <w:next w:val="619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9"/>
    <w:next w:val="619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9"/>
    <w:next w:val="619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9"/>
    <w:next w:val="619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9"/>
    <w:next w:val="619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9"/>
    <w:next w:val="619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9"/>
    <w:next w:val="619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9"/>
    <w:next w:val="619"/>
    <w:uiPriority w:val="99"/>
    <w:unhideWhenUsed/>
    <w:pPr>
      <w:spacing w:after="0" w:afterAutospacing="0"/>
    </w:pPr>
  </w:style>
  <w:style w:type="paragraph" w:styleId="619" w:default="1">
    <w:name w:val="Normal"/>
    <w:qFormat/>
  </w:style>
  <w:style w:type="character" w:styleId="620" w:default="1">
    <w:name w:val="Default Paragraph Font"/>
    <w:uiPriority w:val="1"/>
    <w:semiHidden/>
    <w:unhideWhenUsed/>
  </w:style>
  <w:style w:type="table" w:styleId="62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2" w:default="1">
    <w:name w:val="No List"/>
    <w:uiPriority w:val="99"/>
    <w:semiHidden/>
    <w:unhideWhenUsed/>
  </w:style>
  <w:style w:type="character" w:styleId="623">
    <w:name w:val="Hyperlink"/>
    <w:basedOn w:val="620"/>
    <w:uiPriority w:val="99"/>
    <w:unhideWhenUsed/>
    <w:rPr>
      <w:color w:val="0563c1" w:themeColor="hyperlink"/>
      <w:u w:val="single"/>
    </w:rPr>
  </w:style>
  <w:style w:type="character" w:styleId="624">
    <w:name w:val="FollowedHyperlink"/>
    <w:basedOn w:val="620"/>
    <w:uiPriority w:val="99"/>
    <w:semiHidden/>
    <w:unhideWhenUsed/>
    <w:rPr>
      <w:color w:val="954f72" w:themeColor="followedHyperlink"/>
      <w:u w:val="single"/>
    </w:rPr>
  </w:style>
  <w:style w:type="paragraph" w:styleId="625">
    <w:name w:val="List Paragraph"/>
    <w:basedOn w:val="619"/>
    <w:uiPriority w:val="34"/>
    <w:qFormat/>
    <w:pPr>
      <w:contextualSpacing/>
      <w:ind w:left="720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hyperlink" Target="https://adm.digital.gov.ru/app/uploads/2025/02/perechen-akkreditovannyh-udostoveryayushhih-czentrov-na-07.02.2025.xlsx" TargetMode="External"/><Relationship Id="rId11" Type="http://schemas.openxmlformats.org/officeDocument/2006/relationships/hyperlink" Target="https://www.esphere.ru" TargetMode="Externa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D6A8F8-9C04-43E3-B8A9-5351FA134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r7-office/2025.1.1.749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ИБ</dc:creator>
  <cp:keywords/>
  <dc:description/>
  <cp:lastModifiedBy>Сергей Кичатов</cp:lastModifiedBy>
  <cp:revision>3</cp:revision>
  <dcterms:created xsi:type="dcterms:W3CDTF">2025-03-25T10:11:00Z</dcterms:created>
  <dcterms:modified xsi:type="dcterms:W3CDTF">2025-04-09T19:02:14Z</dcterms:modified>
</cp:coreProperties>
</file>