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7142" w14:textId="77777777" w:rsidR="0025113C" w:rsidRDefault="0025113C" w:rsidP="0025113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14:paraId="185ED138" w14:textId="77B7CC9C" w:rsidR="00246E91" w:rsidRPr="0025113C" w:rsidRDefault="0025113C" w:rsidP="0025113C">
      <w:pPr>
        <w:jc w:val="center"/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 xml:space="preserve">по научной работе кафедры кардиологии ФПК и ППС </w:t>
      </w:r>
    </w:p>
    <w:p w14:paraId="74990739" w14:textId="19532A99" w:rsidR="0025113C" w:rsidRPr="0025113C" w:rsidRDefault="0025113C" w:rsidP="0025113C">
      <w:pPr>
        <w:jc w:val="center"/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 xml:space="preserve">ФГБОУ ВО «Казанский государственный медицинский университет» Минздрава России </w:t>
      </w:r>
    </w:p>
    <w:p w14:paraId="2695E4B5" w14:textId="03ABFA8E" w:rsidR="0025113C" w:rsidRPr="0025113C" w:rsidRDefault="0025113C" w:rsidP="0025113C">
      <w:pPr>
        <w:jc w:val="center"/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>за 1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5F13315" w14:textId="77777777" w:rsidR="00D61E96" w:rsidRDefault="0058156D" w:rsidP="005815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8156D">
              <w:rPr>
                <w:rFonts w:ascii="Times New Roman" w:hAnsi="Times New Roman"/>
                <w:sz w:val="24"/>
                <w:szCs w:val="24"/>
              </w:rPr>
              <w:t>Мареев Ю.В., Поляков Д.С., Виноградова Н.Г., Фомин И.В., Мареев В.Ю., Беленков Ю.Н.</w:t>
            </w:r>
            <w:r>
              <w:rPr>
                <w:rFonts w:ascii="Times New Roman" w:hAnsi="Times New Roman"/>
                <w:sz w:val="24"/>
                <w:szCs w:val="24"/>
              </w:rPr>
              <w:t>, Галявич А.С.</w:t>
            </w:r>
            <w:r w:rsidRPr="0058156D">
              <w:rPr>
                <w:rFonts w:ascii="Times New Roman" w:hAnsi="Times New Roman"/>
                <w:sz w:val="24"/>
                <w:szCs w:val="24"/>
              </w:rPr>
              <w:t xml:space="preserve"> и др. ЭПОХА: Эпидемиология фибрилляции предсердий в репрезентативной выборке Европейской части Российской Федерации. Кардиология. 2022;62(4):12–19. </w:t>
            </w:r>
          </w:p>
          <w:p w14:paraId="57B5DE88" w14:textId="23B9B212" w:rsidR="008F3494" w:rsidRDefault="0058156D" w:rsidP="005815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56D">
              <w:rPr>
                <w:rFonts w:ascii="Times New Roman" w:hAnsi="Times New Roman"/>
                <w:sz w:val="24"/>
                <w:szCs w:val="24"/>
              </w:rPr>
              <w:t>DOI: 10.18087/cardio.2022.4.n1997</w:t>
            </w:r>
          </w:p>
          <w:p w14:paraId="38F879B2" w14:textId="77777777" w:rsidR="00FA7674" w:rsidRDefault="0058156D" w:rsidP="005815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8156D">
              <w:rPr>
                <w:rFonts w:ascii="Times New Roman" w:hAnsi="Times New Roman"/>
                <w:sz w:val="24"/>
                <w:szCs w:val="24"/>
              </w:rPr>
              <w:t>Мареев В.Ю., Беграмбекова Ю.Л., Мареев Ю.В.,Кобалава Ж.Д., Карапетян Л.В., Галочкин С.А.</w:t>
            </w:r>
            <w:r>
              <w:rPr>
                <w:rFonts w:ascii="Times New Roman" w:hAnsi="Times New Roman"/>
                <w:sz w:val="24"/>
                <w:szCs w:val="24"/>
              </w:rPr>
              <w:t>, Галявич А.С., Балеева Л.В., Галеева З.М.</w:t>
            </w:r>
            <w:r w:rsidRPr="0058156D">
              <w:rPr>
                <w:rFonts w:ascii="Times New Roman" w:hAnsi="Times New Roman"/>
                <w:sz w:val="24"/>
                <w:szCs w:val="24"/>
              </w:rPr>
              <w:t xml:space="preserve"> и др. Распространенность дефицита железа у пациентов с хронической сердечной недостаточностью в Российской Федерации. Данные обсерваци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156D">
              <w:rPr>
                <w:rFonts w:ascii="Times New Roman" w:hAnsi="Times New Roman"/>
                <w:sz w:val="24"/>
                <w:szCs w:val="24"/>
              </w:rPr>
              <w:t>нного одномоментного исследования. Кардиология. 2022;62(5):2–5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6719A07" w14:textId="5BFAA0D2" w:rsidR="0058156D" w:rsidRDefault="0058156D" w:rsidP="005815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56D">
              <w:rPr>
                <w:rFonts w:ascii="Times New Roman" w:hAnsi="Times New Roman"/>
                <w:sz w:val="24"/>
                <w:szCs w:val="24"/>
              </w:rPr>
              <w:t>DOI: 10.18087/cardio.2022.5.n2083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748CC4" w14:textId="6EC7870D" w:rsidR="00C50AF8" w:rsidRPr="00C50AF8" w:rsidRDefault="0058156D" w:rsidP="00C50A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50AF8" w:rsidRPr="00C50AF8">
              <w:rPr>
                <w:rFonts w:ascii="Times New Roman" w:hAnsi="Times New Roman"/>
                <w:sz w:val="24"/>
                <w:szCs w:val="24"/>
              </w:rPr>
              <w:t>Лопатин Ю. М., Арутюнов Г. П., Аметов А. С., Агеев Ф. Т.,</w:t>
            </w:r>
            <w:r w:rsidR="00C50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AF8" w:rsidRPr="00C50AF8">
              <w:rPr>
                <w:rFonts w:ascii="Times New Roman" w:hAnsi="Times New Roman"/>
                <w:sz w:val="24"/>
                <w:szCs w:val="24"/>
              </w:rPr>
              <w:t>Анциферов М. Б., Барбараш О. Л., Виллевальде С. В., Виноградова Н. Г.,</w:t>
            </w:r>
          </w:p>
          <w:p w14:paraId="79FD7870" w14:textId="1F2FE6C5" w:rsidR="00C50AF8" w:rsidRPr="00C50AF8" w:rsidRDefault="00C50AF8" w:rsidP="00C50A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AF8">
              <w:rPr>
                <w:rFonts w:ascii="Times New Roman" w:hAnsi="Times New Roman"/>
                <w:sz w:val="24"/>
                <w:szCs w:val="24"/>
              </w:rPr>
              <w:t>Галстян Г. Р., Галявич А.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 </w:t>
            </w:r>
            <w:r w:rsidRPr="00C50AF8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14:paraId="50E76C9C" w14:textId="31C05D1C" w:rsidR="00C50AF8" w:rsidRPr="00C50AF8" w:rsidRDefault="00C50AF8" w:rsidP="00C50A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AF8">
              <w:rPr>
                <w:rFonts w:ascii="Times New Roman" w:hAnsi="Times New Roman"/>
                <w:sz w:val="24"/>
                <w:szCs w:val="24"/>
              </w:rPr>
              <w:t>эмпаглифлозина у пациентов, госпитализированных по поводу острой декомпенсации сердечной недостаточности: резолюция экспертов по результатам</w:t>
            </w:r>
          </w:p>
          <w:p w14:paraId="593E8951" w14:textId="77777777" w:rsidR="00C50AF8" w:rsidRPr="00C50AF8" w:rsidRDefault="00C50AF8" w:rsidP="00C50A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AF8">
              <w:rPr>
                <w:rFonts w:ascii="Times New Roman" w:hAnsi="Times New Roman"/>
                <w:sz w:val="24"/>
                <w:szCs w:val="24"/>
              </w:rPr>
              <w:t>обсуждения исследования EMPULSE. Российский кардиологический журнал.</w:t>
            </w:r>
          </w:p>
          <w:p w14:paraId="4A8F4CBE" w14:textId="77777777" w:rsidR="00FA7674" w:rsidRDefault="00C50AF8" w:rsidP="00C50A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AF8">
              <w:rPr>
                <w:rFonts w:ascii="Times New Roman" w:hAnsi="Times New Roman"/>
                <w:sz w:val="24"/>
                <w:szCs w:val="24"/>
              </w:rPr>
              <w:t>2022;27(3):</w:t>
            </w:r>
            <w:r w:rsidR="00FA7674">
              <w:rPr>
                <w:rFonts w:ascii="Times New Roman" w:hAnsi="Times New Roman"/>
                <w:sz w:val="24"/>
                <w:szCs w:val="24"/>
              </w:rPr>
              <w:t>45-54</w:t>
            </w:r>
            <w:r w:rsidRPr="00C50A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35DEAD6" w14:textId="2F618099" w:rsidR="0058156D" w:rsidRDefault="00C50AF8" w:rsidP="00C50A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AF8">
              <w:rPr>
                <w:rFonts w:ascii="Times New Roman" w:hAnsi="Times New Roman"/>
                <w:sz w:val="24"/>
                <w:szCs w:val="24"/>
              </w:rPr>
              <w:t>doi:10.15829/1560-4071-2022-4945</w:t>
            </w:r>
            <w:r w:rsidR="00FA76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458C142" w14:textId="77777777" w:rsidR="00FA7674" w:rsidRDefault="00FA7674" w:rsidP="00FA76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A7674">
              <w:rPr>
                <w:rFonts w:ascii="Times New Roman" w:hAnsi="Times New Roman"/>
                <w:sz w:val="24"/>
                <w:szCs w:val="24"/>
              </w:rPr>
              <w:t>Арутюнов Г.П., Тарловская Е.И., Арутюнов А.Г.</w:t>
            </w:r>
            <w:r>
              <w:rPr>
                <w:rFonts w:ascii="Times New Roman" w:hAnsi="Times New Roman"/>
                <w:sz w:val="24"/>
                <w:szCs w:val="24"/>
              </w:rPr>
              <w:t>, Галявич А.С.</w:t>
            </w:r>
            <w:r w:rsidRPr="00FA7674">
              <w:rPr>
                <w:rFonts w:ascii="Times New Roman" w:hAnsi="Times New Roman"/>
                <w:sz w:val="24"/>
                <w:szCs w:val="24"/>
              </w:rPr>
              <w:t xml:space="preserve"> и др. Регистр «Анализ динамики Коморбидных заболеваний у пациенТов, перенесшИх инфицироВание </w:t>
            </w:r>
            <w:r w:rsidRPr="00FA7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SARS-CoV-2» (АКТИВ). Оценка влияния комбинаций исходных сопутствующих заболеваний у пациентов с COVID-19 на прогноз. Терапевтический архив. 2022;94(1):32–47. </w:t>
            </w:r>
          </w:p>
          <w:p w14:paraId="2788B816" w14:textId="02B58CE3" w:rsidR="00FA7674" w:rsidRDefault="00FA7674" w:rsidP="00FA767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674">
              <w:rPr>
                <w:rFonts w:ascii="Times New Roman" w:hAnsi="Times New Roman"/>
                <w:sz w:val="24"/>
                <w:szCs w:val="24"/>
              </w:rPr>
              <w:t>DOI: 10.26442/00403660.2022.01.201320</w:t>
            </w:r>
          </w:p>
          <w:p w14:paraId="68C4AAB6" w14:textId="164D0F0C" w:rsidR="00013B03" w:rsidRPr="00013B03" w:rsidRDefault="00013B03" w:rsidP="00013B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13B03">
              <w:rPr>
                <w:rFonts w:ascii="Times New Roman" w:hAnsi="Times New Roman"/>
                <w:sz w:val="24"/>
                <w:szCs w:val="24"/>
              </w:rPr>
              <w:t>Терещенко С.Н., Жиров И. В., Моисеева О.М., Адашева Т.В., Аншелес А.А., Барбараш О.Л., Галявич А.С., Гудкова А.Я.,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B03">
              <w:rPr>
                <w:rFonts w:ascii="Times New Roman" w:hAnsi="Times New Roman"/>
                <w:sz w:val="24"/>
                <w:szCs w:val="24"/>
              </w:rPr>
              <w:t>Затейщиков Д.А., Костарева А.А., Насонова С.Н., Недогода С.В., Печерина Т.Б., Рыжкова Д.В., Сергиенко В.Б. Практические рекомендации</w:t>
            </w:r>
          </w:p>
          <w:p w14:paraId="56E87426" w14:textId="59552487" w:rsidR="00A96EBF" w:rsidRPr="00095164" w:rsidRDefault="00013B03" w:rsidP="008B28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3B03">
              <w:rPr>
                <w:rFonts w:ascii="Times New Roman" w:hAnsi="Times New Roman"/>
                <w:sz w:val="24"/>
                <w:szCs w:val="24"/>
              </w:rPr>
              <w:t>по диагностике транстиретиновой амилоидной кардиомиопатии (ATTR-КМП или транстиретинового амилоидоза сердца). Терапевтический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B03">
              <w:rPr>
                <w:rFonts w:ascii="Times New Roman" w:hAnsi="Times New Roman"/>
                <w:sz w:val="24"/>
                <w:szCs w:val="24"/>
              </w:rPr>
              <w:t>архив. 2022;94(4):584–595. DOI: 10.26442/00403660.2022.04.201465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6079E0D4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CF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51A7191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r w:rsidR="009D594E">
              <w:rPr>
                <w:rFonts w:ascii="Times New Roman" w:hAnsi="Times New Roman"/>
                <w:sz w:val="24"/>
                <w:szCs w:val="24"/>
              </w:rPr>
              <w:t>качестве 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C2008E5" w14:textId="4599C259" w:rsidR="000E7210" w:rsidRDefault="000E721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  <w:r w:rsidR="00F43A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AE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Общероссийский конгресс «Репродуктивный потенциал России». Докладчик – Галявич А.С.</w:t>
            </w:r>
            <w:r w:rsidR="00F43AE3">
              <w:rPr>
                <w:rFonts w:ascii="Times New Roman" w:hAnsi="Times New Roman"/>
                <w:sz w:val="24"/>
                <w:szCs w:val="24"/>
              </w:rPr>
              <w:t xml:space="preserve"> 100 чел.</w:t>
            </w:r>
          </w:p>
          <w:p w14:paraId="64B5E553" w14:textId="4DF0DDFA" w:rsidR="00874BE8" w:rsidRDefault="009D59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7–9 июня</w:t>
            </w:r>
            <w:r w:rsidR="00F43AE3">
              <w:rPr>
                <w:rFonts w:ascii="Times New Roman" w:hAnsi="Times New Roman"/>
                <w:sz w:val="24"/>
                <w:szCs w:val="24"/>
              </w:rPr>
              <w:t>.</w:t>
            </w:r>
            <w:r w:rsidR="000E7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494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="000E7210">
              <w:rPr>
                <w:rFonts w:ascii="Times New Roman" w:hAnsi="Times New Roman"/>
                <w:sz w:val="24"/>
                <w:szCs w:val="24"/>
              </w:rPr>
              <w:t>конференция «Кардиология на марше» Москва. 3 доклада – Галявич А.С.</w:t>
            </w:r>
            <w:r w:rsidR="008F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3494">
              <w:rPr>
                <w:rFonts w:ascii="Times New Roman" w:hAnsi="Times New Roman"/>
                <w:sz w:val="24"/>
                <w:szCs w:val="24"/>
              </w:rPr>
              <w:t>00 чел.</w:t>
            </w:r>
          </w:p>
          <w:p w14:paraId="2C808C66" w14:textId="532A7072" w:rsidR="0076309B" w:rsidRDefault="0076309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июня – региональный конгресс РКО. Иркутск. Докладчик – Галявич А.С. – 1250 чел. 1 доклад. </w:t>
            </w:r>
          </w:p>
          <w:p w14:paraId="5C1CE3E1" w14:textId="312B9AFD" w:rsidR="008B28CD" w:rsidRPr="00095164" w:rsidRDefault="008B28C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94E">
              <w:rPr>
                <w:rFonts w:ascii="Times New Roman" w:hAnsi="Times New Roman"/>
                <w:sz w:val="24"/>
                <w:szCs w:val="24"/>
              </w:rPr>
              <w:t>22–23 июня</w:t>
            </w:r>
            <w:r>
              <w:rPr>
                <w:rFonts w:ascii="Times New Roman" w:hAnsi="Times New Roman"/>
                <w:sz w:val="24"/>
                <w:szCs w:val="24"/>
              </w:rPr>
              <w:t>. Конгресс «Российские дни сердца». Санкт-Петербург. 2 доклада – Галявич А.С. 300 чел.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05724A1" w14:textId="77777777" w:rsidR="008B28CD" w:rsidRDefault="000D189A" w:rsidP="008B28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8CD">
              <w:rPr>
                <w:rFonts w:ascii="Times New Roman" w:hAnsi="Times New Roman"/>
                <w:sz w:val="24"/>
                <w:szCs w:val="24"/>
              </w:rPr>
              <w:t>19 мая. Республиканская научно-практическая конференция «Первичная и вторичная профилактика в кардиологии».</w:t>
            </w:r>
          </w:p>
          <w:p w14:paraId="6936D2D5" w14:textId="2D9B22CB" w:rsidR="00095164" w:rsidRPr="00095164" w:rsidRDefault="008B28CD" w:rsidP="008B28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210">
              <w:rPr>
                <w:rFonts w:ascii="Times New Roman" w:hAnsi="Times New Roman"/>
                <w:sz w:val="24"/>
                <w:szCs w:val="24"/>
              </w:rPr>
              <w:lastRenderedPageBreak/>
              <w:t>Докладчики: Галявич А.С., Балееева Л.В., Галеева З.М., Камалов Г.М. 10 докладов. Участников 300 чел.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2C5C348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C65A139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1D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001D6" w:rsidRPr="003C45CC">
              <w:rPr>
                <w:rFonts w:ascii="Times New Roman" w:hAnsi="Times New Roman"/>
                <w:sz w:val="24"/>
                <w:szCs w:val="24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74938196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01D6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0001D6" w:rsidRPr="00513AAC">
              <w:rPr>
                <w:rFonts w:ascii="Times New Roman" w:hAnsi="Times New Roman"/>
                <w:sz w:val="24"/>
                <w:szCs w:val="24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7F887CB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1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001D6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67E222F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121E3CB8" w:rsidR="005E5C25" w:rsidRPr="00095164" w:rsidRDefault="004235E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5EB">
              <w:rPr>
                <w:rFonts w:ascii="Times New Roman" w:hAnsi="Times New Roman"/>
                <w:sz w:val="24"/>
                <w:szCs w:val="24"/>
              </w:rPr>
              <w:t xml:space="preserve">Галявич А.С. - член редколлегий журналов: «Российский кардиологический журнал», «Кардиология», «Артериальные гипертензии», «Системные гипертензии», «Кардиоваскулярная терапия и профилактика», «Атеросклероз и дислипидемии», «Кардиосоматика», «Эффективная фармакотерапия. Кардиология и ангиология», «Вестник современной клинической медицины», «Казанский медицинский журнал», «Практическая медицина», «Неотложная кардиология»,«Кардиологический вестник», «Кардиология (Новости. Мнения. Обучение)», «Medica Mente», «European Heart Journal – Case Reports». 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31E6C513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</w:t>
            </w:r>
            <w:r w:rsidR="00000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председателя, секретарь, член совета))</w:t>
            </w:r>
          </w:p>
        </w:tc>
        <w:tc>
          <w:tcPr>
            <w:tcW w:w="4940" w:type="dxa"/>
          </w:tcPr>
          <w:p w14:paraId="5E216E8D" w14:textId="2E258F42" w:rsidR="00A632A6" w:rsidRDefault="004235EB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5EB">
              <w:rPr>
                <w:rFonts w:ascii="Times New Roman" w:hAnsi="Times New Roman"/>
                <w:sz w:val="24"/>
                <w:szCs w:val="24"/>
              </w:rPr>
              <w:t>Галявич А.С. – заместитель председателя диссертационного совета Д 21.2.012.01 при КГМУ.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48AD579A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439DE0F" w:rsidR="00513AAC" w:rsidRPr="0025113C" w:rsidRDefault="0025113C" w:rsidP="0028599E">
      <w:pPr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>Заведующий кафедрой кардиологии ФПК и ППС,</w:t>
      </w:r>
    </w:p>
    <w:p w14:paraId="6B08EB0B" w14:textId="757123C1" w:rsidR="0025113C" w:rsidRPr="0025113C" w:rsidRDefault="0025113C" w:rsidP="0028599E">
      <w:pPr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>академик АН РТ, профессор                                              А</w:t>
      </w:r>
      <w:r>
        <w:rPr>
          <w:rFonts w:ascii="Times New Roman" w:hAnsi="Times New Roman"/>
          <w:bCs/>
          <w:sz w:val="24"/>
          <w:szCs w:val="24"/>
        </w:rPr>
        <w:t>.</w:t>
      </w:r>
      <w:r w:rsidRPr="0025113C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25113C">
        <w:rPr>
          <w:rFonts w:ascii="Times New Roman" w:hAnsi="Times New Roman"/>
          <w:bCs/>
          <w:sz w:val="24"/>
          <w:szCs w:val="24"/>
        </w:rPr>
        <w:t xml:space="preserve"> Галявич</w:t>
      </w:r>
    </w:p>
    <w:p w14:paraId="3927DD85" w14:textId="34037D62" w:rsidR="0025113C" w:rsidRPr="0025113C" w:rsidRDefault="008B28CD" w:rsidP="0028599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9D594E">
        <w:rPr>
          <w:rFonts w:ascii="Times New Roman" w:hAnsi="Times New Roman"/>
          <w:bCs/>
          <w:sz w:val="24"/>
          <w:szCs w:val="24"/>
        </w:rPr>
        <w:t xml:space="preserve"> июня</w:t>
      </w:r>
      <w:r w:rsidR="0025113C" w:rsidRPr="0025113C">
        <w:rPr>
          <w:rFonts w:ascii="Times New Roman" w:hAnsi="Times New Roman"/>
          <w:bCs/>
          <w:sz w:val="24"/>
          <w:szCs w:val="24"/>
        </w:rPr>
        <w:t xml:space="preserve"> 2022 года</w:t>
      </w:r>
    </w:p>
    <w:p w14:paraId="6C88A4B9" w14:textId="62D8CD65"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A726" w14:textId="77777777" w:rsidR="0064783C" w:rsidRDefault="0064783C" w:rsidP="008638C3">
      <w:pPr>
        <w:spacing w:after="0"/>
      </w:pPr>
      <w:r>
        <w:separator/>
      </w:r>
    </w:p>
  </w:endnote>
  <w:endnote w:type="continuationSeparator" w:id="0">
    <w:p w14:paraId="03A315E7" w14:textId="77777777" w:rsidR="0064783C" w:rsidRDefault="0064783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7F559" w14:textId="77777777" w:rsidR="0064783C" w:rsidRDefault="0064783C" w:rsidP="008638C3">
      <w:pPr>
        <w:spacing w:after="0"/>
      </w:pPr>
      <w:r>
        <w:separator/>
      </w:r>
    </w:p>
  </w:footnote>
  <w:footnote w:type="continuationSeparator" w:id="0">
    <w:p w14:paraId="56441ACC" w14:textId="77777777" w:rsidR="0064783C" w:rsidRDefault="0064783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2E32"/>
    <w:multiLevelType w:val="hybridMultilevel"/>
    <w:tmpl w:val="8C1C8018"/>
    <w:lvl w:ilvl="0" w:tplc="E1482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01D6"/>
    <w:rsid w:val="00013B03"/>
    <w:rsid w:val="000156A1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7210"/>
    <w:rsid w:val="000F2937"/>
    <w:rsid w:val="000F76DA"/>
    <w:rsid w:val="00100D50"/>
    <w:rsid w:val="00116BAB"/>
    <w:rsid w:val="001260D6"/>
    <w:rsid w:val="00132880"/>
    <w:rsid w:val="001774F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4A47"/>
    <w:rsid w:val="002152BC"/>
    <w:rsid w:val="00246E91"/>
    <w:rsid w:val="0025113C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7EB3"/>
    <w:rsid w:val="00401084"/>
    <w:rsid w:val="004021FB"/>
    <w:rsid w:val="0042122D"/>
    <w:rsid w:val="004235EB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156D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E7168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1151"/>
    <w:rsid w:val="0064783C"/>
    <w:rsid w:val="006500F3"/>
    <w:rsid w:val="00654E12"/>
    <w:rsid w:val="00657256"/>
    <w:rsid w:val="0066635B"/>
    <w:rsid w:val="006703BD"/>
    <w:rsid w:val="006B2763"/>
    <w:rsid w:val="006B2913"/>
    <w:rsid w:val="006B2FAD"/>
    <w:rsid w:val="006C4439"/>
    <w:rsid w:val="006D07E6"/>
    <w:rsid w:val="006D1F06"/>
    <w:rsid w:val="006E376D"/>
    <w:rsid w:val="006F65F5"/>
    <w:rsid w:val="00707AE4"/>
    <w:rsid w:val="007134DF"/>
    <w:rsid w:val="0071404C"/>
    <w:rsid w:val="0071627E"/>
    <w:rsid w:val="00740E4B"/>
    <w:rsid w:val="00745405"/>
    <w:rsid w:val="00753DF7"/>
    <w:rsid w:val="007550D8"/>
    <w:rsid w:val="0076259B"/>
    <w:rsid w:val="0076309B"/>
    <w:rsid w:val="00770DB6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28CD"/>
    <w:rsid w:val="008B49BD"/>
    <w:rsid w:val="008B7208"/>
    <w:rsid w:val="008C48F9"/>
    <w:rsid w:val="008D0E3F"/>
    <w:rsid w:val="008D3838"/>
    <w:rsid w:val="008E22FB"/>
    <w:rsid w:val="008F2870"/>
    <w:rsid w:val="008F3494"/>
    <w:rsid w:val="008F72FC"/>
    <w:rsid w:val="009069D7"/>
    <w:rsid w:val="0090794C"/>
    <w:rsid w:val="00917453"/>
    <w:rsid w:val="0092715E"/>
    <w:rsid w:val="0093147D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594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6EBF"/>
    <w:rsid w:val="00AB5393"/>
    <w:rsid w:val="00AB55C9"/>
    <w:rsid w:val="00AB6032"/>
    <w:rsid w:val="00AC283D"/>
    <w:rsid w:val="00AC2A1F"/>
    <w:rsid w:val="00AC4E2B"/>
    <w:rsid w:val="00AD7DBD"/>
    <w:rsid w:val="00AE4CB4"/>
    <w:rsid w:val="00B22C41"/>
    <w:rsid w:val="00B23147"/>
    <w:rsid w:val="00B46A26"/>
    <w:rsid w:val="00B50B6C"/>
    <w:rsid w:val="00B541A5"/>
    <w:rsid w:val="00B56AB0"/>
    <w:rsid w:val="00B63EC6"/>
    <w:rsid w:val="00B646CD"/>
    <w:rsid w:val="00B80F71"/>
    <w:rsid w:val="00B82662"/>
    <w:rsid w:val="00B87574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0AF8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7C1"/>
    <w:rsid w:val="00CF2D46"/>
    <w:rsid w:val="00D045D0"/>
    <w:rsid w:val="00D1257B"/>
    <w:rsid w:val="00D20FD8"/>
    <w:rsid w:val="00D22951"/>
    <w:rsid w:val="00D27F06"/>
    <w:rsid w:val="00D4106F"/>
    <w:rsid w:val="00D41827"/>
    <w:rsid w:val="00D61E96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1B54"/>
    <w:rsid w:val="00EC3BCF"/>
    <w:rsid w:val="00EE223A"/>
    <w:rsid w:val="00EE2AFC"/>
    <w:rsid w:val="00EE695C"/>
    <w:rsid w:val="00EF5F28"/>
    <w:rsid w:val="00F018A5"/>
    <w:rsid w:val="00F15FBA"/>
    <w:rsid w:val="00F2415C"/>
    <w:rsid w:val="00F2697A"/>
    <w:rsid w:val="00F3626C"/>
    <w:rsid w:val="00F43AE3"/>
    <w:rsid w:val="00F5163E"/>
    <w:rsid w:val="00F75BBE"/>
    <w:rsid w:val="00F8569D"/>
    <w:rsid w:val="00F93A98"/>
    <w:rsid w:val="00F95575"/>
    <w:rsid w:val="00FA7674"/>
    <w:rsid w:val="00FB2012"/>
    <w:rsid w:val="00FC66BC"/>
    <w:rsid w:val="00FC7BD3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9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528E-FAEB-461E-AC91-82BC28E5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6842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2022-09-06T11:51:00Z</dcterms:created>
  <dcterms:modified xsi:type="dcterms:W3CDTF">2022-09-06T11:51:00Z</dcterms:modified>
</cp:coreProperties>
</file>