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A1" w:rsidRPr="003825D6" w:rsidRDefault="00A803A1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ПОРЯДОК ПРОВЕДЕНИЯ ПРОМЕЖУТОЧНОЙ АТТЕСТАЦИИ </w:t>
      </w:r>
      <w:r w:rsidR="00D350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ДЛЯ ОРДИНАТОРОВ </w:t>
      </w:r>
      <w:r w:rsidR="00A142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 СПЕЦИАЛЬНОСТИ «ОБЩАЯ ГИГИЕНА» </w:t>
      </w: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НА КАФЕДРЕ ПРОФИЛАКТИЧЕСКОЙ МЕДИЦИНЫ </w:t>
      </w:r>
    </w:p>
    <w:p w:rsidR="00A803A1" w:rsidRPr="003825D6" w:rsidRDefault="00A803A1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 ЭКОЛОГИИ ЧЕЛОВЕКА ФПК И ППС </w:t>
      </w:r>
    </w:p>
    <w:p w:rsidR="00A803A1" w:rsidRPr="003825D6" w:rsidRDefault="00A803A1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ФГБОУ ВО КАЗАНСКИЙ ГМУ МИНЗДРАВА РОССИИ</w:t>
      </w:r>
    </w:p>
    <w:p w:rsidR="00DA5CAB" w:rsidRPr="003825D6" w:rsidRDefault="00DA5CAB" w:rsidP="00A045C5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5CAB" w:rsidRPr="003825D6" w:rsidRDefault="00DA5CAB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Аттестационное испытание </w:t>
      </w:r>
      <w:r w:rsidRPr="00382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 </w:t>
      </w: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выявления качества освоения обучающимися образовательных программ. В соответствии с этапом обучения аттестационное испытание может быть текущим, промежуточным и итоговым.</w:t>
      </w:r>
    </w:p>
    <w:p w:rsidR="00A803A1" w:rsidRDefault="00A803A1" w:rsidP="00A92C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промежуточной аттестации</w:t>
      </w: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CBE" w:rsidRP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осуществление итогового контроля знаний и</w:t>
      </w:r>
      <w:r w:rsid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CBE" w:rsidRP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</w:t>
      </w:r>
      <w:r w:rsidR="009E55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A92CBE" w:rsidRP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дисциплине, по производственной практике</w:t>
      </w:r>
      <w:r w:rsid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качества освоения обучающимися образовательных программ по завершении отдельных этапов обучения.</w:t>
      </w:r>
    </w:p>
    <w:p w:rsidR="00B300AC" w:rsidRDefault="00B300AC" w:rsidP="00A92C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из числа инвалидов промежуточная аттестация проводится с учетом особенностей их психофизического развития, их индивидуальных возможностей и состояния здоровья. Взимание платы с ординаторов за прохождение промежуточной аттестации не допускается.</w:t>
      </w:r>
    </w:p>
    <w:p w:rsidR="00A92CBE" w:rsidRPr="003825D6" w:rsidRDefault="00A92CBE" w:rsidP="00A92C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формах, предусмотренных учебным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(индивидуальным учебным планом) и рабочей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аммой дисциплины/практики</w:t>
      </w:r>
      <w:r w:rsidRPr="00A92C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03A1" w:rsidRPr="003825D6" w:rsidRDefault="00A803A1" w:rsidP="00A0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может проводиться в форме:</w:t>
      </w:r>
    </w:p>
    <w:p w:rsidR="00A803A1" w:rsidRPr="003825D6" w:rsidRDefault="00A803A1" w:rsidP="00A04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26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-экзамена по дисциплине;</w:t>
      </w:r>
    </w:p>
    <w:p w:rsidR="00C329B9" w:rsidRDefault="00C329B9" w:rsidP="00A04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тестирования;</w:t>
      </w:r>
    </w:p>
    <w:p w:rsidR="00A803A1" w:rsidRPr="003825D6" w:rsidRDefault="00A803A1" w:rsidP="00A04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зачета по дисциплине;</w:t>
      </w:r>
    </w:p>
    <w:p w:rsidR="00A803A1" w:rsidRPr="003825D6" w:rsidRDefault="00A803A1" w:rsidP="00A0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-защиты курсового проекта или работы;</w:t>
      </w:r>
    </w:p>
    <w:p w:rsidR="00A803A1" w:rsidRPr="003825D6" w:rsidRDefault="00A803A1" w:rsidP="00A04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-защиты отчета по производственной практике.</w:t>
      </w:r>
    </w:p>
    <w:p w:rsidR="00990EBB" w:rsidRPr="003825D6" w:rsidRDefault="00DA5CAB" w:rsidP="00A0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аттестационного испытания по дисциплине (экзамен или зачёт) и количество экзаменов и зачётов по дисциплине, наличие курсовых проектов (работ) определяется учебным планом рабочей программы учебной дисциплины и фондом оценочных средств по дисциплине.</w:t>
      </w:r>
    </w:p>
    <w:p w:rsid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Оценочные средства составляются на основе рабочей программы учебной дисциплины и охватывают ее наиболее актуальные разделы и темы.</w:t>
      </w:r>
    </w:p>
    <w:p w:rsidR="00C329B9" w:rsidRP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кзамен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дисциплине 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3 этапа:</w:t>
      </w:r>
    </w:p>
    <w:p w:rsidR="00C329B9" w:rsidRP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тестирование</w:t>
      </w:r>
      <w:r w:rsid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29B9" w:rsidRP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ситуационной задачи</w:t>
      </w:r>
      <w:r w:rsid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устное собеседование</w:t>
      </w:r>
      <w:r w:rsidR="009E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билетам</w:t>
      </w:r>
      <w:r w:rsid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00AC" w:rsidRPr="00C329B9" w:rsidRDefault="00B300A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Комплекты заданий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ерждаются заведующим кафедрой</w:t>
      </w:r>
      <w:r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C5499" w:rsidRDefault="000C5499" w:rsidP="000C54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 в форме экзамена</w:t>
      </w:r>
      <w:r w:rsidRPr="000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за пределами аудиторных часов, выделенных на освоение дисциплины, – по расписанию, утвержденному проректором по направлению деятельности. Расписание составляется таким образом, чтобы исключить проведение экзаменов по двум и более дисциплинам в один и тот же учебный день.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 экзамена составляется и утверждается  индивидуально для каждой дисциплины. Присутствие на экзамене посторонних лиц не допускается.</w:t>
      </w:r>
      <w:r w:rsidR="00B300AC" w:rsidRPr="00B300AC">
        <w:t xml:space="preserve"> </w:t>
      </w:r>
      <w:r w:rsidR="00B300AC"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Промежуточную </w:t>
      </w:r>
      <w:r w:rsidR="00B300AC"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аттестацию в форме экзамена осуществляет заведующий кафедрой, профессор, доцент или старший преподаватель.</w:t>
      </w:r>
    </w:p>
    <w:p w:rsid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Тестовые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составляются на основе рабочей программы дисциплины и содержат от </w:t>
      </w:r>
      <w:r w:rsidR="00A045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до 100 вопросов с вариантами ответов. 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заданий в тестовой форме, в том числе компьютерных, обучающемуся отводится не более 1 минуты на одно задание.</w:t>
      </w:r>
    </w:p>
    <w:p w:rsidR="00D32C76" w:rsidRPr="00C329B9" w:rsidRDefault="00D32C76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Билеты с ситуационными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на основе фонда оценочных средств рабочей программы каждой из дисциплин. Обучающийся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выбрать только один билет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ситуационной задачей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Замена одного билета на другой не допускается. </w:t>
      </w:r>
    </w:p>
    <w:p w:rsidR="00D32C76" w:rsidRPr="00C329B9" w:rsidRDefault="00D32C76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30 минут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ситуационной задачи.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Дополнительное время для подготовки не предусмотрено. За время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написать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этапы решения сит</w:t>
      </w:r>
      <w:r w:rsidR="00026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уационной задачи, документы, необходимые для решения задачи, приветствуется обоснование ответа. При необходимости обучающийся может пользоваться нормативными документами, справочными данными, необходимыми для решения задачи. Вышеуказанные документы располагаются на отдельно стоящем столе в аудитории, где проводится экзамен. </w:t>
      </w:r>
    </w:p>
    <w:p w:rsidR="0040758C" w:rsidRDefault="0040758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готовности к ответу, обучающийся устно, в ходе собеседования, рассказывает экзаменатору о решении задачи. </w:t>
      </w:r>
      <w:r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</w:t>
      </w:r>
      <w:r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не более одной трети академического часа на каждого обучающегося.</w:t>
      </w:r>
    </w:p>
    <w:p w:rsidR="00D32C76" w:rsidRDefault="00026895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ответа </w:t>
      </w:r>
      <w:r w:rsid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лист(ы) с решением ситуационной задачи обучающегося сдается вместе с билетом экзаменатору и приобщается к экзаменационным материалам.</w:t>
      </w:r>
      <w:r w:rsid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на листах с решением задачи фамилии, инициалов и подписи обучающегося является обязательным.</w:t>
      </w:r>
    </w:p>
    <w:p w:rsidR="00C329B9" w:rsidRPr="00C329B9" w:rsidRDefault="0040758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Устное собеседование</w:t>
      </w:r>
      <w:r w:rsidR="00C329B9"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экзаменационным билетам кафедры, индивидуальным для каждой из дисциплин. </w:t>
      </w:r>
      <w:r w:rsidR="001016A2" w:rsidRP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Билеты с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вопросами формируются на основе фонда оценочных средств рабочей программы каждой из дисциплин.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C329B9"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право выбрать только один экзаменационный билет. Замена одного билета на другой не допускается. </w:t>
      </w:r>
    </w:p>
    <w:p w:rsidR="0040758C" w:rsidRPr="00C329B9" w:rsidRDefault="0040758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к устному ответу.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Дополнительное время для подготовки не предусмотрено.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время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написать план ответа, основные положения 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приветствуется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обосновани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ответа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758C" w:rsidRDefault="0040758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готовности к ответу, обучающийся устно, в ходе собеседования,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экзаменатору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в билете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1016A2" w:rsidRP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выбирать порядок обсуждения вопросов экзаменационного билета.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</w:t>
      </w:r>
      <w:r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</w:t>
      </w:r>
      <w:r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одной трети академического часа на каждого обучающегося.</w:t>
      </w:r>
    </w:p>
    <w:p w:rsidR="0040758C" w:rsidRDefault="0040758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ответа подписанные лист(ы) с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ответами обучающегося на вопросы билета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вместе с билетом экзаменатору и приобщается к экзаменационным материалам. Наличие на листах с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фамилии, инициалов и подписи обучающегося является обязательным.</w:t>
      </w:r>
    </w:p>
    <w:p w:rsidR="00C329B9" w:rsidRDefault="00C329B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Использование 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программ, справочной литературы и других пособий, </w:t>
      </w:r>
      <w:r w:rsidR="001016A2"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1016A2"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>или технически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016A2" w:rsidRP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(мобильный телефон, планшет и т.д.)</w:t>
      </w:r>
      <w:r w:rsidR="0010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носителей информации не допускается.  </w:t>
      </w:r>
    </w:p>
    <w:p w:rsidR="00126371" w:rsidRDefault="000C5499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4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Промежуточную аттестацию в форме зачета</w:t>
      </w:r>
      <w:r w:rsidR="00126371" w:rsidRPr="00126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дисциплине </w:t>
      </w:r>
      <w:r w:rsidR="00126371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проводиться в форме тестирования, письменных или устных опросов в зависимости от предусмотренных в фонде оценочных средств по дисциплине.</w:t>
      </w:r>
      <w:r w:rsidRPr="000C5499">
        <w:t xml:space="preserve"> </w:t>
      </w:r>
      <w:r w:rsidRPr="000C5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в форме зачета, зачета по практике проводится в пределах аудиторных часов, выделенных в расписании учебных занятий на освоение дисциплины, прохождение практики.</w:t>
      </w:r>
    </w:p>
    <w:p w:rsidR="00B300AC" w:rsidRDefault="000C5499" w:rsidP="00A045C5">
      <w:pPr>
        <w:spacing w:after="0" w:line="240" w:lineRule="auto"/>
        <w:ind w:firstLine="705"/>
        <w:jc w:val="both"/>
      </w:pPr>
      <w:r w:rsidRPr="000C54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Промежуточную аттестацию в форме зачета осуществляет преподаватель, проводивший текущий контроль успеваемости по дисциплине (модулю). В отдель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случаях заведующий кафедрой</w:t>
      </w:r>
      <w:r w:rsidRPr="000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назначить другого преподавателя для проведения промежуточной аттестации.</w:t>
      </w:r>
      <w:r w:rsidR="00B300AC" w:rsidRPr="00B300AC">
        <w:t xml:space="preserve"> </w:t>
      </w:r>
    </w:p>
    <w:p w:rsidR="00FB3008" w:rsidRDefault="00B300AC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Промежуточную аттестацию в форме зачета по практике, осуществляет комиссия в количестве не менее чем 3 членов.</w:t>
      </w:r>
      <w:r w:rsidR="00FB3008" w:rsidRPr="00FB3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5499" w:rsidRPr="00126371" w:rsidRDefault="00FB3008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0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в форме зачета по практике проводится путем оценивания отчета о практике в соответствии с Положением о практике ординаторов.</w:t>
      </w:r>
    </w:p>
    <w:p w:rsidR="00126371" w:rsidRPr="00126371" w:rsidRDefault="00126371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Защита курсовой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на научно-практической конференции по дисциплине. Обучающийся выступает с кратким докладом по материалам курсовой работы (не более 10 минут), выступление сопровождается презентацией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цель, задачи, полученны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</w:t>
      </w:r>
      <w:r w:rsidR="001A78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2BAC" w:rsidRDefault="00126371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3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Защита отчета по производственной практике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устно </w:t>
      </w:r>
      <w:r w:rsid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собеседования.</w:t>
      </w:r>
      <w:r w:rsidR="00DB2BAC" w:rsidRP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BAC"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</w:t>
      </w:r>
      <w:r w:rsidR="00DB2BAC"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</w:t>
      </w:r>
      <w:r w:rsidR="00DB2BAC" w:rsidRPr="00407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одной трети академического часа на каждого обучающегося.</w:t>
      </w:r>
    </w:p>
    <w:p w:rsidR="00DA5CAB" w:rsidRPr="003825D6" w:rsidRDefault="00DA5CAB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C3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промежуточной </w:t>
      </w: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обучающемуся выставляется оценка, которая может быть дифференцированной, отражающей степень и глубину освоения материала, либо недифференцированной, отражающей собственно факт прохождения аттестации.</w:t>
      </w:r>
    </w:p>
    <w:p w:rsidR="00DA5CAB" w:rsidRPr="003825D6" w:rsidRDefault="00DA5CAB" w:rsidP="00A045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Дифференцированная оценка выставляется в соответствии с </w:t>
      </w:r>
      <w:proofErr w:type="spellStart"/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четырехбальной</w:t>
      </w:r>
      <w:proofErr w:type="spellEnd"/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 оценок: "отлично", "хорошо", "удовлетворительно" и "неудовлетворительно".</w:t>
      </w:r>
    </w:p>
    <w:p w:rsidR="0063628F" w:rsidRPr="003825D6" w:rsidRDefault="00DA5CAB" w:rsidP="00A04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аттестации при недифференцированной оценке фиксируется как "зачтено" или "не зачтено"</w:t>
      </w:r>
      <w:r w:rsid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28F" w:rsidRPr="003825D6">
        <w:rPr>
          <w:rFonts w:ascii="Times New Roman" w:hAnsi="Times New Roman" w:cs="Times New Roman"/>
          <w:sz w:val="28"/>
          <w:szCs w:val="28"/>
        </w:rPr>
        <w:t xml:space="preserve">Оценка «зачтено» ставится, если </w:t>
      </w:r>
      <w:r w:rsidR="0063628F">
        <w:rPr>
          <w:rFonts w:ascii="Times New Roman" w:hAnsi="Times New Roman" w:cs="Times New Roman"/>
          <w:sz w:val="28"/>
          <w:szCs w:val="28"/>
        </w:rPr>
        <w:t>обучающийся</w:t>
      </w:r>
      <w:r w:rsidR="0063628F" w:rsidRPr="003825D6">
        <w:rPr>
          <w:rFonts w:ascii="Times New Roman" w:hAnsi="Times New Roman" w:cs="Times New Roman"/>
          <w:sz w:val="28"/>
          <w:szCs w:val="28"/>
        </w:rPr>
        <w:t xml:space="preserve"> правильно (в основном правильно) выполняет все предложенные навыки, правильно интерпретирует их и самостоятельно может исправить ошибки, выявленные преподавателем.</w:t>
      </w:r>
    </w:p>
    <w:p w:rsidR="0063628F" w:rsidRPr="003825D6" w:rsidRDefault="0063628F" w:rsidP="00A04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5D6">
        <w:rPr>
          <w:rFonts w:ascii="Times New Roman" w:hAnsi="Times New Roman" w:cs="Times New Roman"/>
          <w:sz w:val="28"/>
          <w:szCs w:val="28"/>
        </w:rPr>
        <w:t>Оценка «не зачтено» ставится, если обучающийся не справился с предложенным заданием, не может правильно интерпретировать свои действия, и не справляется с дополнительным заданием.</w:t>
      </w:r>
    </w:p>
    <w:p w:rsidR="00A045C5" w:rsidRDefault="00A045C5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08" w:rsidRDefault="00FB3008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08" w:rsidRDefault="00FB3008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08" w:rsidRDefault="00FB3008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2BAC" w:rsidRDefault="00DB2BAC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B2B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Критерии оценивания результатов обучения</w:t>
      </w:r>
    </w:p>
    <w:p w:rsidR="00A045C5" w:rsidRPr="003825D6" w:rsidRDefault="00A045C5" w:rsidP="00A0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56"/>
        <w:gridCol w:w="2465"/>
        <w:gridCol w:w="2249"/>
        <w:gridCol w:w="1647"/>
        <w:gridCol w:w="1994"/>
      </w:tblGrid>
      <w:tr w:rsidR="00F25919" w:rsidRPr="00F25919" w:rsidTr="00DB2BAC">
        <w:trPr>
          <w:trHeight w:val="56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919" w:rsidRPr="00F25919" w:rsidRDefault="00F25919" w:rsidP="00A04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Форма</w:t>
            </w:r>
          </w:p>
          <w:p w:rsidR="00F25919" w:rsidRPr="00F25919" w:rsidRDefault="00F25919" w:rsidP="00A04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оценочных</w:t>
            </w:r>
          </w:p>
          <w:p w:rsidR="00F25919" w:rsidRPr="00F25919" w:rsidRDefault="00F25919" w:rsidP="00A045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средств</w:t>
            </w:r>
          </w:p>
        </w:tc>
        <w:tc>
          <w:tcPr>
            <w:tcW w:w="423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919" w:rsidRPr="00F25919" w:rsidRDefault="00F25919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Критерии оценивания результатов обучения</w:t>
            </w:r>
          </w:p>
        </w:tc>
      </w:tr>
      <w:tr w:rsidR="00DB2BAC" w:rsidRPr="00F25919" w:rsidTr="0009468E"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тестовое задание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не достигнут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(менее 70 баллов)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минимальный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(70-79 баллов)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средний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(80-89 баллов)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Результат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высокий</w:t>
            </w:r>
          </w:p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(90-100 баллов)</w:t>
            </w:r>
          </w:p>
        </w:tc>
      </w:tr>
      <w:tr w:rsidR="00DB2BAC" w:rsidRPr="00F25919" w:rsidTr="0009468E"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«неудовлетворительно»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«удовлетворительно»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«хорошо»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«отлично»</w:t>
            </w:r>
          </w:p>
        </w:tc>
      </w:tr>
      <w:tr w:rsidR="00DB2BAC" w:rsidRPr="00F25919" w:rsidTr="0009468E"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919">
              <w:rPr>
                <w:rFonts w:ascii="Times New Roman" w:eastAsia="Calibri" w:hAnsi="Times New Roman" w:cs="Times New Roman"/>
              </w:rPr>
              <w:t>«не зачтено»</w:t>
            </w:r>
          </w:p>
        </w:tc>
        <w:tc>
          <w:tcPr>
            <w:tcW w:w="3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«зачтено»</w:t>
            </w:r>
          </w:p>
        </w:tc>
      </w:tr>
      <w:tr w:rsidR="00DB2BAC" w:rsidRPr="00F25919" w:rsidTr="00DB2BAC"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hAnsi="Times New Roman" w:cs="Times New Roman"/>
                <w:spacing w:val="-6"/>
                <w:kern w:val="2"/>
              </w:rPr>
              <w:t>ситуационная задача</w:t>
            </w:r>
            <w:r>
              <w:rPr>
                <w:rFonts w:ascii="Times New Roman" w:hAnsi="Times New Roman" w:cs="Times New Roman"/>
                <w:spacing w:val="-6"/>
                <w:kern w:val="2"/>
              </w:rPr>
              <w:t>, собеседование, защита курсовой работы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«неудовлетворительно»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«удовлетворительно»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«хорошо»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 w:rsidRPr="00F25919">
              <w:rPr>
                <w:rFonts w:ascii="Times New Roman" w:eastAsia="Calibri" w:hAnsi="Times New Roman" w:cs="Times New Roman"/>
              </w:rPr>
              <w:t>«отлично»</w:t>
            </w:r>
          </w:p>
        </w:tc>
      </w:tr>
      <w:tr w:rsidR="00DB2BAC" w:rsidRPr="00F25919" w:rsidTr="00DB2BAC"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919">
              <w:rPr>
                <w:rFonts w:ascii="Times New Roman" w:eastAsia="Calibri" w:hAnsi="Times New Roman" w:cs="Times New Roman"/>
              </w:rPr>
              <w:t>«не зачтено»</w:t>
            </w:r>
          </w:p>
        </w:tc>
        <w:tc>
          <w:tcPr>
            <w:tcW w:w="3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919">
              <w:rPr>
                <w:rFonts w:ascii="Times New Roman" w:eastAsia="Calibri" w:hAnsi="Times New Roman" w:cs="Times New Roman"/>
              </w:rPr>
              <w:t>«зачтено»</w:t>
            </w:r>
          </w:p>
        </w:tc>
      </w:tr>
      <w:tr w:rsidR="00DB2BAC" w:rsidRPr="00F25919" w:rsidTr="00DB2BAC">
        <w:trPr>
          <w:trHeight w:val="261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F25919">
              <w:rPr>
                <w:rFonts w:ascii="Times New Roman" w:eastAsia="Calibri" w:hAnsi="Times New Roman" w:cs="Times New Roman"/>
              </w:rPr>
              <w:t xml:space="preserve"> не знает отдельных разделов программного материала, допускает при ответе существенные ошибки, не выполняет практические задания, задачи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>
              <w:rPr>
                <w:rFonts w:ascii="Times New Roman" w:eastAsia="Calibri" w:hAnsi="Times New Roman" w:cs="Times New Roman"/>
              </w:rPr>
              <w:t>обучающийся</w:t>
            </w:r>
            <w:r w:rsidRPr="00F25919">
              <w:rPr>
                <w:rFonts w:ascii="Times New Roman" w:eastAsia="Calibri" w:hAnsi="Times New Roman" w:cs="Times New Roman"/>
              </w:rPr>
              <w:t xml:space="preserve"> освоил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>
              <w:rPr>
                <w:rFonts w:ascii="Times New Roman" w:eastAsia="Calibri" w:hAnsi="Times New Roman" w:cs="Times New Roman"/>
              </w:rPr>
              <w:t>обучающийся</w:t>
            </w:r>
            <w:r w:rsidRPr="00F25919">
              <w:rPr>
                <w:rFonts w:ascii="Times New Roman" w:eastAsia="Calibri" w:hAnsi="Times New Roman" w:cs="Times New Roman"/>
              </w:rPr>
              <w:t xml:space="preserve">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знаний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2BAC" w:rsidRPr="00F25919" w:rsidRDefault="00DB2BAC" w:rsidP="00A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</w:rPr>
            </w:pPr>
            <w:r>
              <w:rPr>
                <w:rFonts w:ascii="Times New Roman" w:eastAsia="Calibri" w:hAnsi="Times New Roman" w:cs="Times New Roman"/>
              </w:rPr>
              <w:t>обучающийся</w:t>
            </w:r>
            <w:r w:rsidRPr="00F25919">
              <w:rPr>
                <w:rFonts w:ascii="Times New Roman" w:eastAsia="Calibri" w:hAnsi="Times New Roman" w:cs="Times New Roman"/>
              </w:rPr>
              <w:t xml:space="preserve">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при этом ошибок</w:t>
            </w:r>
          </w:p>
        </w:tc>
      </w:tr>
    </w:tbl>
    <w:p w:rsidR="003825D6" w:rsidRDefault="003825D6" w:rsidP="00A045C5">
      <w:pPr>
        <w:spacing w:after="0" w:line="240" w:lineRule="auto"/>
        <w:ind w:firstLine="708"/>
        <w:jc w:val="both"/>
      </w:pPr>
    </w:p>
    <w:p w:rsidR="00F25919" w:rsidRPr="00A045C5" w:rsidRDefault="00F25919" w:rsidP="00A04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5919" w:rsidRPr="00A045C5" w:rsidSect="00DA5C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A1"/>
    <w:rsid w:val="00026895"/>
    <w:rsid w:val="000C5499"/>
    <w:rsid w:val="001016A2"/>
    <w:rsid w:val="00126371"/>
    <w:rsid w:val="001A78D8"/>
    <w:rsid w:val="00251F43"/>
    <w:rsid w:val="002F7AFA"/>
    <w:rsid w:val="003825D6"/>
    <w:rsid w:val="0040758C"/>
    <w:rsid w:val="0051519F"/>
    <w:rsid w:val="0052715E"/>
    <w:rsid w:val="005F0FA8"/>
    <w:rsid w:val="00614E18"/>
    <w:rsid w:val="0063628F"/>
    <w:rsid w:val="00722AA2"/>
    <w:rsid w:val="007E5C24"/>
    <w:rsid w:val="00882102"/>
    <w:rsid w:val="0092621D"/>
    <w:rsid w:val="00990EBB"/>
    <w:rsid w:val="009C0107"/>
    <w:rsid w:val="009E5596"/>
    <w:rsid w:val="00A045C5"/>
    <w:rsid w:val="00A142A3"/>
    <w:rsid w:val="00A803A1"/>
    <w:rsid w:val="00A92CBE"/>
    <w:rsid w:val="00B300AC"/>
    <w:rsid w:val="00BA549E"/>
    <w:rsid w:val="00BD2390"/>
    <w:rsid w:val="00C170B2"/>
    <w:rsid w:val="00C17816"/>
    <w:rsid w:val="00C329B9"/>
    <w:rsid w:val="00C564D8"/>
    <w:rsid w:val="00D279B8"/>
    <w:rsid w:val="00D32C76"/>
    <w:rsid w:val="00D35032"/>
    <w:rsid w:val="00D801F5"/>
    <w:rsid w:val="00DA5CAB"/>
    <w:rsid w:val="00DB2BAC"/>
    <w:rsid w:val="00EE41D1"/>
    <w:rsid w:val="00F25919"/>
    <w:rsid w:val="00FA6223"/>
    <w:rsid w:val="00FB3008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52277-3AB1-4690-A54C-FB26298E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Любовь А. Балабанова</cp:lastModifiedBy>
  <cp:revision>4</cp:revision>
  <cp:lastPrinted>2019-01-22T12:43:00Z</cp:lastPrinted>
  <dcterms:created xsi:type="dcterms:W3CDTF">2021-05-12T05:58:00Z</dcterms:created>
  <dcterms:modified xsi:type="dcterms:W3CDTF">2021-05-12T06:02:00Z</dcterms:modified>
</cp:coreProperties>
</file>