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68" w:rsidRDefault="00BA0668" w:rsidP="00BA066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Questions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Peptic ulcer disease. Pathogenesis. Modern methods of functional and endoscopic diagnosis.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Complications of peptic ulcer disease. Perforation. Bleeding. Pyloric stenosis. Penetration.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Pyloric stenosis. Etiology. Clinical signs. Diagnosis. Preoperative preparation. Types of surgical interventions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Peptic ulcer bleeding. Clinical signs. Diagnosis. Endoscopic classification of bleeding.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Gastroduodenal bleeding. Etiology. Clinical signs. Diagnosis. Differential diagnosis. Management. Endoscopic hemostasis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Gastroduodenal bleeding. Management of the patient with gastroduodenal bleeding</w:t>
      </w:r>
      <w:r w:rsidRPr="002727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Inguinal hernia. Classification. The anatomy of the inguinal canal.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Causes of hernia. Femoral hernia. The anatomy of the femoral canal.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Umbilical hernia. Postoperative hernia. Etiology. Clinical signs. Diagnosis. Types of surgical treatment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>Complications of hernias: inflamed, irreducible, strangulated.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Клиника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и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лечение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7FF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>Clinical signs and treatment</w:t>
      </w:r>
      <w:r w:rsidR="0027272B" w:rsidRPr="002E17FF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Gallbladder disease. Pathogenesis. Clinical signs. Diagnosis. Complications. Treatment. Types of surgical treatment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Acute </w:t>
      </w:r>
      <w:proofErr w:type="spellStart"/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>cholecystitis</w:t>
      </w:r>
      <w:proofErr w:type="spellEnd"/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>.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Этиология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>.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Etiology.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Клиника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>.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Clinical signs.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Диагностика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>.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.</w:t>
      </w:r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Лечение .</w:t>
      </w:r>
      <w:proofErr w:type="spellStart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Style w:val="notranslate"/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Intraoperative methods of the bile tract examination. Methods of external drainage of the bile ducts</w:t>
      </w:r>
      <w:r w:rsidR="0027272B" w:rsidRPr="002727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Intestinal obstruction. Classification. Clinical signs.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Strangulated intestinal obstruction. Etiology. Clinical signs.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Preoperative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Functional intestinal obstruction.  Classification. Clinical signs. 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stimulation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motility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Peritonitis.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Патогенез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>.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Pathogenesis.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Классификация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>.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Classification.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 Phases of peritonitis.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Клиника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lang w:val="en-US"/>
          <w:specVanish w:val="0"/>
        </w:rPr>
        <w:t>.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signs</w:t>
      </w:r>
      <w:proofErr w:type="spellEnd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.</w:t>
      </w:r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Диагностика.</w:t>
      </w:r>
      <w:r w:rsidRPr="00BA0668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.</w:t>
      </w:r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r w:rsidRPr="00BA0668">
        <w:rPr>
          <w:rStyle w:val="google-src-text1"/>
          <w:rFonts w:ascii="Times New Roman" w:hAnsi="Times New Roman" w:cs="Times New Roman"/>
          <w:sz w:val="24"/>
          <w:szCs w:val="24"/>
          <w:specVanish w:val="0"/>
        </w:rPr>
        <w:t>Лечение.</w:t>
      </w:r>
      <w:r w:rsidRPr="00BA0668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Style w:val="notranslate"/>
          <w:rFonts w:ascii="Times New Roman" w:hAnsi="Times New Roman" w:cs="Times New Roman"/>
          <w:sz w:val="24"/>
          <w:szCs w:val="24"/>
        </w:rPr>
        <w:t>Treatment</w:t>
      </w:r>
      <w:proofErr w:type="spellEnd"/>
      <w:r w:rsidR="0027272B">
        <w:rPr>
          <w:rStyle w:val="notranslate"/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Clinical signs of peritonitis. Surgical management of peritonitis</w:t>
      </w:r>
      <w:r w:rsidRPr="002E17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Complications of acute appendicitis. Appendicular mass. Appendicular abscess. </w:t>
      </w:r>
      <w:proofErr w:type="spellStart"/>
      <w:r w:rsidRPr="00BA0668">
        <w:rPr>
          <w:rFonts w:ascii="Times New Roman" w:hAnsi="Times New Roman" w:cs="Times New Roman"/>
          <w:sz w:val="24"/>
          <w:szCs w:val="24"/>
          <w:lang w:val="en-US"/>
        </w:rPr>
        <w:t>Pylephlebitis</w:t>
      </w:r>
      <w:proofErr w:type="spellEnd"/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. Etiology. Clinical signs.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27272B">
        <w:rPr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Indications for blood transfusion of components. Determining of blood type and Rh factor.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transfusion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="0027272B">
        <w:rPr>
          <w:rFonts w:ascii="Times New Roman" w:hAnsi="Times New Roman" w:cs="Times New Roman"/>
          <w:sz w:val="24"/>
          <w:szCs w:val="24"/>
        </w:rPr>
        <w:t>.</w:t>
      </w:r>
    </w:p>
    <w:p w:rsidR="002E17FF" w:rsidRDefault="00BA0668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Esophageal burns. Etiology. Pathogenesis. Clinical signs. </w:t>
      </w:r>
      <w:r w:rsidRPr="0027272B">
        <w:rPr>
          <w:rFonts w:ascii="Times New Roman" w:hAnsi="Times New Roman" w:cs="Times New Roman"/>
          <w:sz w:val="24"/>
          <w:szCs w:val="24"/>
          <w:lang w:val="en-US"/>
        </w:rPr>
        <w:t>Diagnosis. Treatment. Types of dilation</w:t>
      </w:r>
      <w:r w:rsidR="0027272B" w:rsidRPr="002727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17FF" w:rsidRPr="002E1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Esophageal strictures. Etiology. Clinical signs. </w:t>
      </w:r>
      <w:r w:rsidRPr="00BA0668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>Diagnosis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. Complications. Indications and types of dilation.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Blunt abdominal trauma. Etiology. Classification.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27272B"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Penetrating abdominal trauma. Etiology. Classification.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signs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>Local anesthesia. The author of the technique. Mechanism of action. Disadvantages of this method</w:t>
      </w:r>
      <w:r w:rsidR="0027272B">
        <w:rPr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Acute pancreatitis. Etiology. Classification. Clinical signs.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>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Chronic pancreatitis. Etiology. Classification. Clinical signs.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BA0668"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Goiter. Classification. Etiology. Clinical signs, </w:t>
      </w:r>
      <w:r w:rsidRPr="00BA0668">
        <w:rPr>
          <w:rFonts w:ascii="Times New Roman" w:hAnsi="Times New Roman" w:cs="Times New Roman"/>
          <w:color w:val="222222"/>
          <w:sz w:val="24"/>
          <w:szCs w:val="24"/>
          <w:lang w:val="en-US"/>
        </w:rPr>
        <w:t>diagnosis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, treatment and </w:t>
      </w:r>
      <w:r w:rsidRPr="00BA0668">
        <w:rPr>
          <w:rFonts w:ascii="Times New Roman" w:hAnsi="Times New Roman" w:cs="Times New Roman"/>
          <w:color w:val="222222"/>
          <w:sz w:val="24"/>
          <w:szCs w:val="24"/>
          <w:lang w:val="en-US"/>
        </w:rPr>
        <w:t>prevention</w:t>
      </w:r>
      <w:r w:rsidRPr="00BA0668">
        <w:rPr>
          <w:rFonts w:ascii="Times New Roman" w:hAnsi="Times New Roman" w:cs="Times New Roman"/>
          <w:sz w:val="24"/>
          <w:szCs w:val="24"/>
          <w:lang w:val="en-US"/>
        </w:rPr>
        <w:t>. Indications for the surgery, types of surgery. Intra and postoperative complications, treatment and prevention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FF" w:rsidRPr="00BA0668" w:rsidRDefault="002E17FF" w:rsidP="002E17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Early and late complications after thyroidectomy for toxic goiter. </w:t>
      </w:r>
      <w:r w:rsidRPr="002E17FF">
        <w:rPr>
          <w:rFonts w:ascii="Times New Roman" w:hAnsi="Times New Roman" w:cs="Times New Roman"/>
          <w:sz w:val="24"/>
          <w:szCs w:val="24"/>
          <w:lang w:val="en-US"/>
        </w:rPr>
        <w:t>Clinical signs. Diagnosis. Treatment.</w:t>
      </w:r>
    </w:p>
    <w:p w:rsidR="00BA0668" w:rsidRPr="00BA0668" w:rsidRDefault="00BA0668" w:rsidP="00BA066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BA0668">
        <w:rPr>
          <w:rFonts w:ascii="Times New Roman" w:hAnsi="Times New Roman" w:cs="Times New Roman"/>
          <w:sz w:val="24"/>
          <w:szCs w:val="24"/>
          <w:lang w:val="en-US"/>
        </w:rPr>
        <w:t xml:space="preserve">Diseases of the thyroid gland. Classification. Etiology. Clinical signs. Diagnosis. </w:t>
      </w:r>
      <w:proofErr w:type="spellStart"/>
      <w:r w:rsidRPr="00BA06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2E17F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E17FF" w:rsidRPr="00BA0668" w:rsidRDefault="002E17FF" w:rsidP="002E17FF">
      <w:pPr>
        <w:pStyle w:val="a3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17FF" w:rsidRPr="00BA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30C98"/>
    <w:multiLevelType w:val="hybridMultilevel"/>
    <w:tmpl w:val="AF90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8"/>
    <w:rsid w:val="001570F4"/>
    <w:rsid w:val="0027272B"/>
    <w:rsid w:val="002E17FF"/>
    <w:rsid w:val="00BA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CB18"/>
  <w15:chartTrackingRefBased/>
  <w15:docId w15:val="{4F0DA2D1-15C2-433A-82B3-8E994A5B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68"/>
    <w:pPr>
      <w:ind w:left="720"/>
      <w:contextualSpacing/>
    </w:pPr>
  </w:style>
  <w:style w:type="character" w:customStyle="1" w:styleId="notranslate">
    <w:name w:val="notranslate"/>
    <w:basedOn w:val="a0"/>
    <w:rsid w:val="00BA0668"/>
  </w:style>
  <w:style w:type="character" w:customStyle="1" w:styleId="google-src-text1">
    <w:name w:val="google-src-text1"/>
    <w:basedOn w:val="a0"/>
    <w:rsid w:val="00BA0668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2019-06-08T18:41:00Z</dcterms:created>
  <dcterms:modified xsi:type="dcterms:W3CDTF">2019-06-08T19:00:00Z</dcterms:modified>
</cp:coreProperties>
</file>