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19" w:rsidRPr="005A4912" w:rsidRDefault="005A4912">
      <w:pPr>
        <w:rPr>
          <w:rFonts w:ascii="Times New Roman" w:hAnsi="Times New Roman" w:cs="Times New Roman"/>
        </w:rPr>
      </w:pPr>
      <w:r w:rsidRPr="005A4912">
        <w:rPr>
          <w:rFonts w:ascii="Times New Roman" w:hAnsi="Times New Roman" w:cs="Times New Roman"/>
        </w:rPr>
        <w:t>Отчет за 3 квартал 2021 года кафедры стоматологии детского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2"/>
        <w:gridCol w:w="3102"/>
        <w:gridCol w:w="3141"/>
      </w:tblGrid>
      <w:tr w:rsidR="005A4912" w:rsidRPr="005A4912" w:rsidTr="005A4912"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</w:rPr>
            </w:pP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Pr="005A4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года (все публикации дублируются в научную библиотеку)</w:t>
            </w:r>
          </w:p>
        </w:tc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12" w:rsidRPr="005A4912" w:rsidTr="005A4912"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12" w:rsidRPr="005A4912" w:rsidRDefault="005A4912" w:rsidP="005A4912">
            <w:pPr>
              <w:ind w:left="-740" w:firstLine="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Мамаева Е.В. Влияние микроструктуры поверхности, конструктивных и размерных особенностей дентальных имплантатов на их стабильность и процесс 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остеоинтерграции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непосредственной и отсроченной имплантации / Гришин П.О., 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Е.А., Козлов А.В., Кушнир Е.Н., 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Чигарина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С.Е. 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Сучастна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Стоматология (Современная стоматология). – 2021;  3(107): 58-66.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: 10.33295/1992-576Х-2021-3-58</w:t>
            </w:r>
          </w:p>
        </w:tc>
      </w:tr>
      <w:tr w:rsidR="005A4912" w:rsidRPr="005A4912" w:rsidTr="005A4912"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</w:p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Абдрашитова А.Б. ОСОБЕННОСТИ ОРГАНИЗАЦИИ СЛУЖБЫ ЭСПЕРТИЗЫ ВРЕМЕННОЙ НЕТРУДОСПОПОБНОСТИ В СТОМАТОЛОГИЧЕСКОЙ ПРАКТИКЕ / Сафина Р.М., 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Салеев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Р.А., 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Шулаев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А.В. – Здоровье человека в XXI веке. Качество жизни. ХIII Всероссийская научно-практическая конференция с международным участием: Сборник научных статей. Казань, 19-20 марта 2021 г. / Под общей редакцией профессора 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Ксембаева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С.С. – Казань: ИД «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МеДДоК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», 2021. – С.68-71.</w:t>
            </w:r>
          </w:p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Хамитова Н.Х. ВЛИЯНИЕ ДЛИТЕЛЬНОЙ РАБОТЫ ЗА КОМЬЮТЕРОМ НА СОСТОЯНИЕ ЗДОРОВЬЯ / 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Гаянова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А.З.– Здоровье человека в XXI веке. Качество жизни. ХIII Всероссийская научно-практическая конференция с международным участием: Сборник научных статей. Казань, 19-20 марта 2021 г. / Под общей редакцией профессора 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Ксембаева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С.С. – Казань: ИД «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МеДДоК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», 2021. – С.20-22</w:t>
            </w:r>
          </w:p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Ширяк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Т.Ю. Лечение корневых каналов молочных зубов при помощи ротационных инструментов / Садыкова </w:t>
            </w:r>
            <w:proofErr w:type="gram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А.М. .</w:t>
            </w:r>
            <w:proofErr w:type="gram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– Здоровье человека в XXI веке. Качество жизни. ХIII Всероссийская научно-практическая конференция с международным участием: Сборник научных статей. Казань, 19-20 марта 2021 г. / Под общей редакцией профессора 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Ксембаева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С.С. – Казань: ИД «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МеДДоК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», 2021. – С.65-68</w:t>
            </w:r>
          </w:p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12" w:rsidRPr="005A4912" w:rsidTr="005A4912"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Pr="005A4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12" w:rsidRPr="005A4912" w:rsidTr="005A4912"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Pr="005A4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Scince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WoK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12" w:rsidRPr="005A4912" w:rsidTr="005A4912"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Изданные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пародонта у подростков. Мамаева Е.В., Модина Т.Н., Цинеккер Д.А., 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Адбрахманов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2021.– 500 экз. – 10 ед. - 164 с. – Изд. «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МеДДоК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» Казань</w:t>
            </w:r>
          </w:p>
        </w:tc>
      </w:tr>
      <w:tr w:rsidR="005A4912" w:rsidRPr="005A4912" w:rsidTr="005A4912"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12" w:rsidRPr="005A4912" w:rsidTr="003F4346">
        <w:tc>
          <w:tcPr>
            <w:tcW w:w="6230" w:type="dxa"/>
            <w:gridSpan w:val="2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качестве  кого</w:t>
            </w:r>
            <w:proofErr w:type="gram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принимали участие, количество участников) за </w:t>
            </w:r>
            <w:r w:rsidRPr="005A4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года </w:t>
            </w:r>
          </w:p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Мамаева Е.В. «</w:t>
            </w:r>
            <w:r w:rsidRPr="005A4912">
              <w:rPr>
                <w:rFonts w:ascii="Times New Roman" w:eastAsiaTheme="majorEastAsia" w:hAnsi="Times New Roman" w:cs="Times New Roman"/>
                <w:sz w:val="24"/>
                <w:szCs w:val="24"/>
              </w:rPr>
              <w:t>Ассоциации полиморфизма гена рецептора витамина Д (</w:t>
            </w:r>
            <w:r w:rsidRPr="005A4912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VDR</w:t>
            </w:r>
            <w:r w:rsidRPr="005A4912">
              <w:rPr>
                <w:rFonts w:ascii="Times New Roman" w:eastAsiaTheme="majorEastAsia" w:hAnsi="Times New Roman" w:cs="Times New Roman"/>
                <w:sz w:val="24"/>
                <w:szCs w:val="24"/>
              </w:rPr>
              <w:t>) с риском развития рецессии десны у детей</w:t>
            </w: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». Содокладчик Акишева А.Р. </w:t>
            </w:r>
            <w:r w:rsidRPr="005A4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конгресс «Перспективы и пути развития современной стоматологии и челюстно-лицевой хирургии» Проблемы стоматологического здоровья детей и подростков в современных условиях» – Алматы, 31 мая 2021.</w:t>
            </w:r>
          </w:p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Цинеккер Д.Т. «</w:t>
            </w:r>
            <w:r w:rsidRPr="005A4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A4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– 2 в полости рта и обострение хронической пародонтальной патологией у пациентов с новой </w:t>
            </w: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(</w:t>
            </w:r>
            <w:r w:rsidRPr="005A4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19)». </w:t>
            </w:r>
            <w:r w:rsidRPr="005A4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конгресс «Перспективы и пути развития современной стоматологии и челюстно-лицевой хирургии» Проблемы стоматологического здоровья детей и подростков в современных условиях» – Алматы, 31 мая 2021.</w:t>
            </w:r>
          </w:p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>Саматова</w:t>
            </w:r>
            <w:proofErr w:type="spellEnd"/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Р.З. «Особенности минерального состава твердых тканей временных зубов у детей при разном уровне антропогенной нагрузке». </w:t>
            </w:r>
            <w:r w:rsidRPr="005A4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A491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конгресс «Перспективы и пути развития современной стоматологии и челюстно-лицевой хирургии» Проблемы стоматологического здоровья детей и подростков в современных условиях» – Алматы, 31 мая 2021.</w:t>
            </w:r>
          </w:p>
          <w:p w:rsidR="005A4912" w:rsidRPr="005A4912" w:rsidRDefault="005A4912" w:rsidP="005A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912" w:rsidRPr="005A4912" w:rsidRDefault="005A4912">
      <w:pPr>
        <w:rPr>
          <w:rFonts w:ascii="Times New Roman" w:hAnsi="Times New Roman" w:cs="Times New Roman"/>
        </w:rPr>
      </w:pPr>
    </w:p>
    <w:p w:rsidR="005A4912" w:rsidRPr="005A4912" w:rsidRDefault="005A4912">
      <w:pPr>
        <w:rPr>
          <w:rFonts w:ascii="Times New Roman" w:hAnsi="Times New Roman" w:cs="Times New Roman"/>
        </w:rPr>
      </w:pPr>
    </w:p>
    <w:p w:rsidR="005A4912" w:rsidRPr="005A4912" w:rsidRDefault="005A4912">
      <w:pPr>
        <w:rPr>
          <w:rFonts w:ascii="Times New Roman" w:hAnsi="Times New Roman" w:cs="Times New Roman"/>
        </w:rPr>
      </w:pPr>
    </w:p>
    <w:p w:rsidR="005A4912" w:rsidRPr="005A4912" w:rsidRDefault="005A4912" w:rsidP="005A49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A4912">
        <w:rPr>
          <w:rFonts w:ascii="Times New Roman" w:hAnsi="Times New Roman" w:cs="Times New Roman"/>
          <w:sz w:val="24"/>
          <w:szCs w:val="24"/>
        </w:rPr>
        <w:t>Д.м.н. профессор Мамаева Е.В.</w:t>
      </w:r>
    </w:p>
    <w:p w:rsidR="005A4912" w:rsidRPr="005A4912" w:rsidRDefault="005A4912" w:rsidP="005A4912">
      <w:pPr>
        <w:rPr>
          <w:rFonts w:ascii="Times New Roman" w:hAnsi="Times New Roman" w:cs="Times New Roman"/>
          <w:sz w:val="24"/>
          <w:szCs w:val="24"/>
        </w:rPr>
      </w:pPr>
    </w:p>
    <w:p w:rsidR="005A4912" w:rsidRPr="005A4912" w:rsidRDefault="005A4912" w:rsidP="005A4912">
      <w:pPr>
        <w:rPr>
          <w:rFonts w:ascii="Times New Roman" w:hAnsi="Times New Roman" w:cs="Times New Roman"/>
          <w:sz w:val="24"/>
          <w:szCs w:val="24"/>
        </w:rPr>
      </w:pPr>
    </w:p>
    <w:p w:rsidR="005A4912" w:rsidRPr="005A4912" w:rsidRDefault="005A4912" w:rsidP="005A49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4912">
        <w:rPr>
          <w:rFonts w:ascii="Times New Roman" w:hAnsi="Times New Roman" w:cs="Times New Roman"/>
          <w:sz w:val="24"/>
          <w:szCs w:val="24"/>
        </w:rPr>
        <w:t xml:space="preserve">Заявка на патент </w:t>
      </w:r>
    </w:p>
    <w:p w:rsidR="005A4912" w:rsidRDefault="005A4912" w:rsidP="005A4912">
      <w:pPr>
        <w:rPr>
          <w:rFonts w:ascii="Times New Roman" w:hAnsi="Times New Roman" w:cs="Times New Roman"/>
          <w:sz w:val="24"/>
          <w:szCs w:val="24"/>
        </w:rPr>
      </w:pPr>
      <w:r w:rsidRPr="005A4912">
        <w:rPr>
          <w:rFonts w:ascii="Times New Roman" w:hAnsi="Times New Roman" w:cs="Times New Roman"/>
          <w:sz w:val="24"/>
          <w:szCs w:val="24"/>
        </w:rPr>
        <w:t xml:space="preserve">Мамаева Е.В., Цинеккер Д.А., Цинеккер Д.Т., Модина Т.Н. от 28.05.2021. </w:t>
      </w:r>
    </w:p>
    <w:p w:rsidR="005A4912" w:rsidRDefault="005A4912" w:rsidP="005A4912">
      <w:pPr>
        <w:rPr>
          <w:rFonts w:ascii="Times New Roman" w:hAnsi="Times New Roman" w:cs="Times New Roman"/>
          <w:sz w:val="24"/>
          <w:szCs w:val="24"/>
        </w:rPr>
      </w:pPr>
      <w:r w:rsidRPr="005A4912">
        <w:rPr>
          <w:rFonts w:ascii="Times New Roman" w:hAnsi="Times New Roman" w:cs="Times New Roman"/>
          <w:sz w:val="24"/>
          <w:szCs w:val="24"/>
        </w:rPr>
        <w:t xml:space="preserve">№ входящий 0327 № регистрационный 2021115511. </w:t>
      </w:r>
    </w:p>
    <w:p w:rsidR="005A4912" w:rsidRPr="005A4912" w:rsidRDefault="005A4912" w:rsidP="005A4912">
      <w:pPr>
        <w:rPr>
          <w:rFonts w:ascii="Times New Roman" w:hAnsi="Times New Roman" w:cs="Times New Roman"/>
          <w:sz w:val="24"/>
          <w:szCs w:val="24"/>
        </w:rPr>
      </w:pPr>
      <w:r w:rsidRPr="005A4912">
        <w:rPr>
          <w:rFonts w:ascii="Times New Roman" w:hAnsi="Times New Roman" w:cs="Times New Roman"/>
          <w:sz w:val="24"/>
          <w:szCs w:val="24"/>
        </w:rPr>
        <w:t>Способ одномоментной вестибулопластики и закрытия рецессии десны</w:t>
      </w:r>
    </w:p>
    <w:p w:rsidR="005A4912" w:rsidRPr="005A4912" w:rsidRDefault="005A4912" w:rsidP="005A4912">
      <w:pPr>
        <w:rPr>
          <w:rFonts w:ascii="Times New Roman" w:hAnsi="Times New Roman" w:cs="Times New Roman"/>
          <w:sz w:val="24"/>
          <w:szCs w:val="24"/>
        </w:rPr>
      </w:pPr>
    </w:p>
    <w:p w:rsidR="005A4912" w:rsidRDefault="005A4912" w:rsidP="005A4912">
      <w:pPr>
        <w:rPr>
          <w:rFonts w:ascii="Times New Roman" w:hAnsi="Times New Roman" w:cs="Times New Roman"/>
          <w:sz w:val="24"/>
          <w:szCs w:val="24"/>
        </w:rPr>
      </w:pPr>
      <w:r w:rsidRPr="005A4912">
        <w:rPr>
          <w:rFonts w:ascii="Times New Roman" w:hAnsi="Times New Roman" w:cs="Times New Roman"/>
          <w:sz w:val="24"/>
          <w:szCs w:val="24"/>
        </w:rPr>
        <w:t>Мамаева Е.В., Цинеккер Д.А., Цинеккер Д.Т., Модина Т.Н., Акишева А.Р. от 24.06.2021.</w:t>
      </w:r>
    </w:p>
    <w:p w:rsidR="005A4912" w:rsidRDefault="005A4912" w:rsidP="005A4912">
      <w:pPr>
        <w:rPr>
          <w:rFonts w:ascii="Times New Roman" w:hAnsi="Times New Roman" w:cs="Times New Roman"/>
          <w:sz w:val="24"/>
          <w:szCs w:val="24"/>
        </w:rPr>
      </w:pPr>
      <w:r w:rsidRPr="005A4912">
        <w:rPr>
          <w:rFonts w:ascii="Times New Roman" w:hAnsi="Times New Roman" w:cs="Times New Roman"/>
          <w:sz w:val="24"/>
          <w:szCs w:val="24"/>
        </w:rPr>
        <w:t xml:space="preserve"> № входящего039178 %№2021118595. </w:t>
      </w:r>
    </w:p>
    <w:p w:rsidR="005A4912" w:rsidRPr="005A4912" w:rsidRDefault="005A4912" w:rsidP="005A4912">
      <w:pPr>
        <w:rPr>
          <w:rFonts w:ascii="Times New Roman" w:hAnsi="Times New Roman" w:cs="Times New Roman"/>
          <w:sz w:val="24"/>
          <w:szCs w:val="24"/>
        </w:rPr>
      </w:pPr>
      <w:r w:rsidRPr="005A4912">
        <w:rPr>
          <w:rFonts w:ascii="Times New Roman" w:hAnsi="Times New Roman" w:cs="Times New Roman"/>
          <w:sz w:val="24"/>
          <w:szCs w:val="24"/>
        </w:rPr>
        <w:t xml:space="preserve">Способ </w:t>
      </w:r>
      <w:proofErr w:type="spellStart"/>
      <w:r w:rsidRPr="005A4912">
        <w:rPr>
          <w:rFonts w:ascii="Times New Roman" w:hAnsi="Times New Roman" w:cs="Times New Roman"/>
          <w:sz w:val="24"/>
          <w:szCs w:val="24"/>
        </w:rPr>
        <w:t>миогимнастики</w:t>
      </w:r>
      <w:proofErr w:type="spellEnd"/>
      <w:r w:rsidRPr="005A4912"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 w:rsidRPr="005A4912">
        <w:rPr>
          <w:rFonts w:ascii="Times New Roman" w:hAnsi="Times New Roman" w:cs="Times New Roman"/>
          <w:sz w:val="24"/>
          <w:szCs w:val="24"/>
        </w:rPr>
        <w:t>миогимнастики</w:t>
      </w:r>
      <w:proofErr w:type="spellEnd"/>
      <w:r w:rsidRPr="005A491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A4912">
        <w:rPr>
          <w:rFonts w:ascii="Times New Roman" w:hAnsi="Times New Roman" w:cs="Times New Roman"/>
          <w:sz w:val="24"/>
          <w:szCs w:val="24"/>
        </w:rPr>
        <w:t>Эдлан-Мейхер</w:t>
      </w:r>
      <w:proofErr w:type="spellEnd"/>
    </w:p>
    <w:p w:rsidR="005A4912" w:rsidRPr="005A4912" w:rsidRDefault="005A4912">
      <w:pPr>
        <w:rPr>
          <w:rFonts w:ascii="Times New Roman" w:hAnsi="Times New Roman" w:cs="Times New Roman"/>
        </w:rPr>
      </w:pPr>
    </w:p>
    <w:p w:rsidR="005A4912" w:rsidRPr="005A4912" w:rsidRDefault="005A4912">
      <w:pPr>
        <w:rPr>
          <w:rFonts w:ascii="Times New Roman" w:hAnsi="Times New Roman" w:cs="Times New Roman"/>
        </w:rPr>
      </w:pPr>
    </w:p>
    <w:sectPr w:rsidR="005A4912" w:rsidRPr="005A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FD"/>
    <w:rsid w:val="005A4912"/>
    <w:rsid w:val="00A61119"/>
    <w:rsid w:val="00FC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5DD6"/>
  <w15:chartTrackingRefBased/>
  <w15:docId w15:val="{BEAB96D6-4AA2-4A3D-9303-5852D915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4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2021-09-18T08:48:00Z</cp:lastPrinted>
  <dcterms:created xsi:type="dcterms:W3CDTF">2021-09-18T08:43:00Z</dcterms:created>
  <dcterms:modified xsi:type="dcterms:W3CDTF">2021-09-18T08:50:00Z</dcterms:modified>
</cp:coreProperties>
</file>