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5D1" w:rsidRPr="00EB5C0E" w:rsidRDefault="00A325D1" w:rsidP="0050615B">
      <w:pPr>
        <w:rPr>
          <w:b/>
          <w:sz w:val="24"/>
          <w:szCs w:val="24"/>
        </w:rPr>
      </w:pPr>
    </w:p>
    <w:p w:rsidR="0050615B" w:rsidRPr="00EB5C0E" w:rsidRDefault="0050615B" w:rsidP="0050615B">
      <w:pPr>
        <w:jc w:val="right"/>
        <w:rPr>
          <w:b/>
          <w:sz w:val="24"/>
          <w:szCs w:val="24"/>
        </w:rPr>
      </w:pPr>
      <w:r w:rsidRPr="00EB5C0E">
        <w:rPr>
          <w:b/>
          <w:sz w:val="24"/>
          <w:szCs w:val="24"/>
        </w:rPr>
        <w:t>Утверждаю</w:t>
      </w:r>
    </w:p>
    <w:p w:rsidR="0050615B" w:rsidRPr="00EB5C0E" w:rsidRDefault="0050615B" w:rsidP="0050615B">
      <w:pPr>
        <w:jc w:val="right"/>
        <w:rPr>
          <w:b/>
          <w:sz w:val="24"/>
          <w:szCs w:val="24"/>
        </w:rPr>
      </w:pPr>
      <w:r w:rsidRPr="00EB5C0E">
        <w:rPr>
          <w:b/>
          <w:sz w:val="24"/>
          <w:szCs w:val="24"/>
        </w:rPr>
        <w:t>__________________</w:t>
      </w:r>
    </w:p>
    <w:p w:rsidR="0050615B" w:rsidRPr="00EB5C0E" w:rsidRDefault="0050615B" w:rsidP="0050615B">
      <w:pPr>
        <w:jc w:val="right"/>
        <w:rPr>
          <w:sz w:val="24"/>
          <w:szCs w:val="24"/>
        </w:rPr>
      </w:pPr>
      <w:r w:rsidRPr="00EB5C0E">
        <w:rPr>
          <w:sz w:val="24"/>
          <w:szCs w:val="24"/>
        </w:rPr>
        <w:t>Зав. каф. экономической</w:t>
      </w:r>
    </w:p>
    <w:p w:rsidR="0050615B" w:rsidRPr="00EB5C0E" w:rsidRDefault="0050615B" w:rsidP="0050615B">
      <w:pPr>
        <w:jc w:val="right"/>
        <w:rPr>
          <w:sz w:val="24"/>
          <w:szCs w:val="24"/>
        </w:rPr>
      </w:pPr>
      <w:r w:rsidRPr="00EB5C0E">
        <w:rPr>
          <w:sz w:val="24"/>
          <w:szCs w:val="24"/>
        </w:rPr>
        <w:t>теории и социальной работы</w:t>
      </w:r>
    </w:p>
    <w:p w:rsidR="0050615B" w:rsidRPr="00EB5C0E" w:rsidRDefault="0050615B" w:rsidP="0050615B">
      <w:pPr>
        <w:jc w:val="right"/>
        <w:rPr>
          <w:sz w:val="24"/>
          <w:szCs w:val="24"/>
        </w:rPr>
      </w:pPr>
      <w:r w:rsidRPr="00EB5C0E">
        <w:rPr>
          <w:sz w:val="24"/>
          <w:szCs w:val="24"/>
        </w:rPr>
        <w:t>М.Н. Максимова</w:t>
      </w:r>
    </w:p>
    <w:p w:rsidR="0050615B" w:rsidRPr="00EB5C0E" w:rsidRDefault="0050615B" w:rsidP="0050615B">
      <w:pPr>
        <w:jc w:val="right"/>
        <w:rPr>
          <w:sz w:val="24"/>
          <w:szCs w:val="24"/>
        </w:rPr>
      </w:pPr>
      <w:r w:rsidRPr="00EB5C0E">
        <w:rPr>
          <w:sz w:val="24"/>
          <w:szCs w:val="24"/>
        </w:rPr>
        <w:t>Протокол заседания кафедры</w:t>
      </w:r>
    </w:p>
    <w:p w:rsidR="0050615B" w:rsidRPr="00EB5C0E" w:rsidRDefault="0050615B" w:rsidP="0050615B">
      <w:pPr>
        <w:jc w:val="right"/>
        <w:rPr>
          <w:sz w:val="24"/>
          <w:szCs w:val="24"/>
        </w:rPr>
      </w:pPr>
      <w:r w:rsidRPr="00EB5C0E">
        <w:rPr>
          <w:sz w:val="24"/>
          <w:szCs w:val="24"/>
        </w:rPr>
        <w:t>№      от                 2017 г.</w:t>
      </w:r>
    </w:p>
    <w:p w:rsidR="0050615B" w:rsidRPr="00EB5C0E" w:rsidRDefault="0050615B" w:rsidP="0050615B">
      <w:pPr>
        <w:jc w:val="center"/>
        <w:rPr>
          <w:b/>
          <w:sz w:val="24"/>
          <w:szCs w:val="24"/>
        </w:rPr>
      </w:pPr>
    </w:p>
    <w:p w:rsidR="0050615B" w:rsidRPr="00EB5C0E" w:rsidRDefault="0050615B" w:rsidP="0050615B">
      <w:pPr>
        <w:ind w:left="-567" w:firstLine="567"/>
        <w:jc w:val="both"/>
        <w:rPr>
          <w:sz w:val="24"/>
          <w:szCs w:val="24"/>
        </w:rPr>
      </w:pPr>
    </w:p>
    <w:p w:rsidR="0050615B" w:rsidRPr="00EB5C0E" w:rsidRDefault="0050615B" w:rsidP="0050615B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EB5C0E">
        <w:rPr>
          <w:rFonts w:ascii="Times New Roman" w:hAnsi="Times New Roman"/>
          <w:b/>
          <w:sz w:val="24"/>
          <w:szCs w:val="24"/>
        </w:rPr>
        <w:t xml:space="preserve">Вопросы зачета по дисциплине </w:t>
      </w:r>
    </w:p>
    <w:p w:rsidR="0050615B" w:rsidRPr="00EB5C0E" w:rsidRDefault="0050615B" w:rsidP="0050615B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EB5C0E">
        <w:rPr>
          <w:rFonts w:ascii="Times New Roman" w:hAnsi="Times New Roman"/>
          <w:b/>
          <w:sz w:val="24"/>
          <w:szCs w:val="24"/>
        </w:rPr>
        <w:t xml:space="preserve"> «Уровень и качество жизни»</w:t>
      </w:r>
    </w:p>
    <w:p w:rsidR="0050615B" w:rsidRPr="00EB5C0E" w:rsidRDefault="0050615B" w:rsidP="0050615B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EB5C0E">
        <w:rPr>
          <w:rFonts w:ascii="Times New Roman" w:hAnsi="Times New Roman"/>
          <w:b/>
          <w:sz w:val="24"/>
          <w:szCs w:val="24"/>
        </w:rPr>
        <w:t xml:space="preserve">для студентов 3 курса очного отделения </w:t>
      </w:r>
    </w:p>
    <w:p w:rsidR="0050615B" w:rsidRPr="00EB5C0E" w:rsidRDefault="0050615B" w:rsidP="0050615B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EB5C0E">
        <w:rPr>
          <w:rFonts w:ascii="Times New Roman" w:hAnsi="Times New Roman"/>
          <w:b/>
          <w:sz w:val="24"/>
          <w:szCs w:val="24"/>
        </w:rPr>
        <w:t xml:space="preserve">факультета социальной работы и высшего сестринского образования </w:t>
      </w:r>
    </w:p>
    <w:p w:rsidR="0050615B" w:rsidRPr="00EB5C0E" w:rsidRDefault="0050615B" w:rsidP="0050615B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EB5C0E">
        <w:rPr>
          <w:rFonts w:ascii="Times New Roman" w:hAnsi="Times New Roman"/>
          <w:b/>
          <w:sz w:val="24"/>
          <w:szCs w:val="24"/>
        </w:rPr>
        <w:t xml:space="preserve">направление «Социальная работа» </w:t>
      </w:r>
    </w:p>
    <w:p w:rsidR="00A325D1" w:rsidRPr="00EB5C0E" w:rsidRDefault="0050615B" w:rsidP="0050615B">
      <w:pPr>
        <w:tabs>
          <w:tab w:val="num" w:pos="0"/>
        </w:tabs>
        <w:ind w:left="-567" w:firstLine="567"/>
        <w:jc w:val="center"/>
        <w:rPr>
          <w:b/>
          <w:sz w:val="24"/>
          <w:szCs w:val="24"/>
        </w:rPr>
      </w:pPr>
      <w:r w:rsidRPr="00EB5C0E">
        <w:rPr>
          <w:b/>
          <w:sz w:val="24"/>
          <w:szCs w:val="24"/>
        </w:rPr>
        <w:t>2017–2018 учебный год</w:t>
      </w:r>
    </w:p>
    <w:p w:rsidR="0050615B" w:rsidRPr="00EB5C0E" w:rsidRDefault="0050615B" w:rsidP="0050615B">
      <w:pPr>
        <w:tabs>
          <w:tab w:val="num" w:pos="0"/>
        </w:tabs>
        <w:ind w:left="-567" w:firstLine="567"/>
        <w:jc w:val="center"/>
        <w:rPr>
          <w:b/>
          <w:sz w:val="24"/>
          <w:szCs w:val="24"/>
        </w:rPr>
      </w:pP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rPr>
          <w:bCs/>
        </w:rPr>
        <w:t xml:space="preserve">1. Уровень жизни как многогранная и </w:t>
      </w:r>
      <w:r w:rsidRPr="00EB5C0E">
        <w:t xml:space="preserve">сложная категория.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  <w:rPr>
          <w:bCs/>
        </w:rPr>
      </w:pPr>
      <w:r w:rsidRPr="00EB5C0E">
        <w:t xml:space="preserve">2. Трактовки уровня жизни в отечественной школе: Л.А. Голуб, И.И. </w:t>
      </w:r>
      <w:r w:rsidRPr="00EB5C0E">
        <w:rPr>
          <w:bCs/>
        </w:rPr>
        <w:t xml:space="preserve">Елисеевой, Л.П. Харченко, ВП. Бобков.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rPr>
          <w:bCs/>
        </w:rPr>
        <w:t xml:space="preserve">3. Предмет </w:t>
      </w:r>
      <w:r w:rsidRPr="00EB5C0E">
        <w:t xml:space="preserve">и объект изучения жизненного уровня населения.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4. Структурная модель уровня жизни населения.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5. Уровень жизни и социальная работа.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6. Исследование </w:t>
      </w:r>
      <w:proofErr w:type="spellStart"/>
      <w:r w:rsidRPr="00EB5C0E">
        <w:t>сушего</w:t>
      </w:r>
      <w:proofErr w:type="spellEnd"/>
      <w:r w:rsidRPr="00EB5C0E">
        <w:t xml:space="preserve"> качества жизни.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7. Условия труда и их классификация.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8. Условия быта.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9. Условия досуга.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10. Структурная модель качества жизни.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11. Разграничение категорий уровень и качество жизни.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12. Подходы к исследованию уровня жизни: философско-мировоззренческие (теория ожидания В. </w:t>
      </w:r>
      <w:proofErr w:type="spellStart"/>
      <w:r w:rsidRPr="00EB5C0E">
        <w:t>Врума</w:t>
      </w:r>
      <w:proofErr w:type="spellEnd"/>
      <w:r w:rsidRPr="00EB5C0E">
        <w:t xml:space="preserve">, теория справедливости </w:t>
      </w:r>
      <w:proofErr w:type="spellStart"/>
      <w:r w:rsidRPr="00EB5C0E">
        <w:t>дж.</w:t>
      </w:r>
      <w:proofErr w:type="spellEnd"/>
      <w:r w:rsidRPr="00EB5C0E">
        <w:t xml:space="preserve"> Адамса), экономические (концепции государства всеобщего благосостояния; развития человеческого потенциала, пространственный подход); формально- статистические.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13. Задачи изучения уровня жизни населения.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14. Информационное обеспечение изучения уровня жизни населения.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15. Подходы </w:t>
      </w:r>
      <w:r w:rsidRPr="00EB5C0E">
        <w:rPr>
          <w:i/>
          <w:iCs/>
        </w:rPr>
        <w:t xml:space="preserve">к </w:t>
      </w:r>
      <w:r w:rsidRPr="00EB5C0E">
        <w:t>индикативному изучению уровня жизни населения.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16. Система групп показателей по аспектам изучаемой категории (40 показателей).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17. Социальные нормативы, как научно-обоснованные ориентиры направленности социальных процессов в обществе.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18. Система показателей для оценки хода экономических реформ (12 показателей).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19. Макроэкономические показатели уровня жизни.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20. Система показателей в международной статистике уровня жизни.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21. Единый агрегатный показатель жизненного уровня населения.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22. Понятие и функции доходов.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23. Задачи изучения доходов.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24. Источники данных о доходах.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25. Особенности доходов в теневой экономике.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26. Классификация доходов: законные и незаконные; номинальные и реальны (индексы номинальных и реальных доходов, индекс цен, индекс покупательной способности); совокупные, располагаемы и скорректированный располагаемый; средние показатели бюджетных обследований; система показателей, характеризующая доходы в </w:t>
      </w:r>
      <w:r w:rsidRPr="00EB5C0E">
        <w:rPr>
          <w:bCs/>
          <w:sz w:val="24"/>
          <w:szCs w:val="24"/>
        </w:rPr>
        <w:t xml:space="preserve">СНС. </w:t>
      </w:r>
      <w:r w:rsidRPr="00EB5C0E">
        <w:rPr>
          <w:sz w:val="24"/>
          <w:szCs w:val="24"/>
        </w:rPr>
        <w:t xml:space="preserve">Концепция доходов Дж. </w:t>
      </w:r>
      <w:proofErr w:type="spellStart"/>
      <w:r w:rsidRPr="00EB5C0E">
        <w:rPr>
          <w:sz w:val="24"/>
          <w:szCs w:val="24"/>
        </w:rPr>
        <w:t>Хикса</w:t>
      </w:r>
      <w:proofErr w:type="spellEnd"/>
      <w:r w:rsidRPr="00EB5C0E">
        <w:rPr>
          <w:sz w:val="24"/>
          <w:szCs w:val="24"/>
        </w:rPr>
        <w:t xml:space="preserve">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lastRenderedPageBreak/>
        <w:t xml:space="preserve">27. Виды заработной платы.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28. Фонд оплаты труда.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29. Индексы оценки динамики заработной платы.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>30. Взаимосвязь индексов.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31. Задачи изучения дифференциации населения по доходам.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32. Показатели дифференциации: модальный доход, медиальный доход, </w:t>
      </w:r>
      <w:proofErr w:type="spellStart"/>
      <w:r w:rsidRPr="00EB5C0E">
        <w:rPr>
          <w:sz w:val="24"/>
          <w:szCs w:val="24"/>
        </w:rPr>
        <w:t>децильный</w:t>
      </w:r>
      <w:proofErr w:type="spellEnd"/>
      <w:r w:rsidRPr="00EB5C0E">
        <w:rPr>
          <w:sz w:val="24"/>
          <w:szCs w:val="24"/>
        </w:rPr>
        <w:t xml:space="preserve"> коэффициент, коэффициенты концентрации (Лоренца, Джини).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33. Графическое изображение дифференциации доходов населения.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34. Сравнение коэффициентов Лоренца и Джини. </w:t>
      </w:r>
    </w:p>
    <w:p w:rsidR="00A325D1" w:rsidRPr="00EB5C0E" w:rsidRDefault="00A325D1" w:rsidP="00A325D1">
      <w:pPr>
        <w:tabs>
          <w:tab w:val="num" w:pos="-426"/>
          <w:tab w:val="num" w:pos="851"/>
        </w:tabs>
        <w:ind w:left="-567" w:firstLine="567"/>
        <w:jc w:val="both"/>
        <w:rPr>
          <w:sz w:val="24"/>
          <w:szCs w:val="24"/>
        </w:rPr>
      </w:pPr>
      <w:r w:rsidRPr="00EB5C0E">
        <w:rPr>
          <w:sz w:val="24"/>
          <w:szCs w:val="24"/>
        </w:rPr>
        <w:t xml:space="preserve">35. Факторы, влияющие на распределение доходов населения.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36. Индексация доходов населения.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37. Механизм индексации доходов в зарубежных странах.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38.  Потребительские единицы.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39. Потребление </w:t>
      </w:r>
      <w:r w:rsidRPr="00EB5C0E">
        <w:rPr>
          <w:bCs/>
        </w:rPr>
        <w:t xml:space="preserve">и </w:t>
      </w:r>
      <w:r w:rsidRPr="00EB5C0E">
        <w:t xml:space="preserve">его типы.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40. Потребитель</w:t>
      </w:r>
      <w:bookmarkStart w:id="0" w:name="_GoBack"/>
      <w:bookmarkEnd w:id="0"/>
      <w:r w:rsidRPr="00EB5C0E">
        <w:t>ская корзина.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41. Минимальная, рациональная, фактическая потребительские корзины.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42. Прожиточный минимум.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43. Расходы </w:t>
      </w:r>
      <w:r w:rsidRPr="00EB5C0E">
        <w:rPr>
          <w:bCs/>
        </w:rPr>
        <w:t xml:space="preserve">и </w:t>
      </w:r>
      <w:r w:rsidRPr="00EB5C0E">
        <w:t xml:space="preserve">их виды.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44. Классификация потребительских расходов.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45. Задачи изучения расходов и потребления.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46. Функции потребления.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47. Основные источники данных изучения расходов и потребления населения.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48. Взаимосвязь величины расходов на питание и уровня жизни населения.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49. Уровень среднедушевого потребления.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50. Фонд потребления.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51. Изучение динамики уровня среднедушевого потребления индексным методом.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52. Абсолютный прирост фонда потребления.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53. Общий объем потребления.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54. Абсолютный размер изменения фонда потребления.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55. Уровень обеспеченности населения отдельными товарами.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56. Коэффициент эластичности потребления.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57. Понятие бедности и мало обеспеченности.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58. Подходы к оценке бедности.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59. Нормативно-правовое обеспечение социальной защиты малообеспеченных.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60. Коэффициент бедности. дефицит дохода бедных семей.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61. Промежуток низкого дохода. 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62. Порог бедности.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>63. Индекс бедности. “Зоны бедности”.</w:t>
      </w:r>
    </w:p>
    <w:p w:rsidR="00A325D1" w:rsidRPr="00EB5C0E" w:rsidRDefault="00A325D1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64. Индексы глубины </w:t>
      </w:r>
      <w:r w:rsidRPr="00EB5C0E">
        <w:rPr>
          <w:bCs/>
        </w:rPr>
        <w:t xml:space="preserve">и </w:t>
      </w:r>
      <w:r w:rsidRPr="00EB5C0E">
        <w:t xml:space="preserve">остроты бедности. </w:t>
      </w:r>
    </w:p>
    <w:p w:rsidR="00A325D1" w:rsidRPr="00EB5C0E" w:rsidRDefault="00825992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65. </w:t>
      </w:r>
      <w:r w:rsidR="00A325D1" w:rsidRPr="00EB5C0E">
        <w:t xml:space="preserve">Синтетический индикатор бедности. </w:t>
      </w:r>
    </w:p>
    <w:p w:rsidR="00A325D1" w:rsidRPr="00EB5C0E" w:rsidRDefault="00825992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66. </w:t>
      </w:r>
      <w:r w:rsidR="00A325D1" w:rsidRPr="00EB5C0E">
        <w:t xml:space="preserve">Факторы бедности. </w:t>
      </w:r>
    </w:p>
    <w:p w:rsidR="00A325D1" w:rsidRPr="00EB5C0E" w:rsidRDefault="00825992" w:rsidP="00A325D1">
      <w:pPr>
        <w:pStyle w:val="a3"/>
        <w:tabs>
          <w:tab w:val="num" w:pos="-426"/>
        </w:tabs>
        <w:spacing w:before="0" w:beforeAutospacing="0" w:after="0" w:afterAutospacing="0"/>
        <w:ind w:left="-567" w:firstLine="567"/>
        <w:jc w:val="both"/>
      </w:pPr>
      <w:r w:rsidRPr="00EB5C0E">
        <w:t xml:space="preserve">67. </w:t>
      </w:r>
      <w:r w:rsidR="00A325D1" w:rsidRPr="00EB5C0E">
        <w:t xml:space="preserve">Социально-экономический портрет бедности. </w:t>
      </w:r>
    </w:p>
    <w:p w:rsidR="00A325D1" w:rsidRPr="00EB5C0E" w:rsidRDefault="00825992" w:rsidP="00825992">
      <w:pPr>
        <w:tabs>
          <w:tab w:val="num" w:pos="-426"/>
        </w:tabs>
        <w:rPr>
          <w:sz w:val="24"/>
          <w:szCs w:val="24"/>
        </w:rPr>
      </w:pPr>
      <w:r w:rsidRPr="00EB5C0E">
        <w:rPr>
          <w:bCs/>
          <w:sz w:val="24"/>
          <w:szCs w:val="24"/>
        </w:rPr>
        <w:t xml:space="preserve">68. </w:t>
      </w:r>
      <w:r w:rsidR="00A325D1" w:rsidRPr="00EB5C0E">
        <w:rPr>
          <w:sz w:val="24"/>
          <w:szCs w:val="24"/>
        </w:rPr>
        <w:t>Межбюджетные отношения.</w:t>
      </w:r>
    </w:p>
    <w:p w:rsidR="00A325D1" w:rsidRPr="00EB5C0E" w:rsidRDefault="00825992" w:rsidP="00A325D1">
      <w:pPr>
        <w:tabs>
          <w:tab w:val="num" w:pos="-426"/>
        </w:tabs>
        <w:ind w:left="-567" w:firstLine="567"/>
        <w:rPr>
          <w:sz w:val="24"/>
          <w:szCs w:val="24"/>
        </w:rPr>
      </w:pPr>
      <w:r w:rsidRPr="00EB5C0E">
        <w:rPr>
          <w:sz w:val="24"/>
          <w:szCs w:val="24"/>
        </w:rPr>
        <w:t xml:space="preserve">69. </w:t>
      </w:r>
      <w:r w:rsidR="00A325D1" w:rsidRPr="00EB5C0E">
        <w:rPr>
          <w:sz w:val="24"/>
          <w:szCs w:val="24"/>
        </w:rPr>
        <w:t xml:space="preserve"> Структурная модель межбюджетных отношений. </w:t>
      </w:r>
    </w:p>
    <w:p w:rsidR="00A325D1" w:rsidRPr="00EB5C0E" w:rsidRDefault="00825992" w:rsidP="00A325D1">
      <w:pPr>
        <w:tabs>
          <w:tab w:val="num" w:pos="-426"/>
        </w:tabs>
        <w:ind w:left="-567" w:firstLine="567"/>
        <w:rPr>
          <w:sz w:val="24"/>
          <w:szCs w:val="24"/>
        </w:rPr>
      </w:pPr>
      <w:r w:rsidRPr="00EB5C0E">
        <w:rPr>
          <w:sz w:val="24"/>
          <w:szCs w:val="24"/>
        </w:rPr>
        <w:t xml:space="preserve">70. </w:t>
      </w:r>
      <w:r w:rsidR="00A325D1" w:rsidRPr="00EB5C0E">
        <w:rPr>
          <w:sz w:val="24"/>
          <w:szCs w:val="24"/>
        </w:rPr>
        <w:t xml:space="preserve">Этапы становления межбюджетных отношении в Российской Федерации. </w:t>
      </w:r>
    </w:p>
    <w:p w:rsidR="00A325D1" w:rsidRPr="00EB5C0E" w:rsidRDefault="00825992" w:rsidP="00A325D1">
      <w:pPr>
        <w:tabs>
          <w:tab w:val="num" w:pos="-426"/>
        </w:tabs>
        <w:ind w:left="-567" w:firstLine="567"/>
        <w:rPr>
          <w:sz w:val="24"/>
          <w:szCs w:val="24"/>
        </w:rPr>
      </w:pPr>
      <w:r w:rsidRPr="00EB5C0E">
        <w:rPr>
          <w:sz w:val="24"/>
          <w:szCs w:val="24"/>
        </w:rPr>
        <w:t xml:space="preserve">71. </w:t>
      </w:r>
      <w:r w:rsidR="00A325D1" w:rsidRPr="00EB5C0E">
        <w:rPr>
          <w:sz w:val="24"/>
          <w:szCs w:val="24"/>
        </w:rPr>
        <w:t xml:space="preserve">Тенденции межбюджетных отношений в современной России. </w:t>
      </w:r>
    </w:p>
    <w:p w:rsidR="00A325D1" w:rsidRPr="00EB5C0E" w:rsidRDefault="00825992" w:rsidP="00A325D1">
      <w:pPr>
        <w:tabs>
          <w:tab w:val="num" w:pos="-426"/>
        </w:tabs>
        <w:ind w:left="-567" w:firstLine="567"/>
        <w:rPr>
          <w:sz w:val="24"/>
          <w:szCs w:val="24"/>
        </w:rPr>
      </w:pPr>
      <w:r w:rsidRPr="00EB5C0E">
        <w:rPr>
          <w:sz w:val="24"/>
          <w:szCs w:val="24"/>
        </w:rPr>
        <w:t xml:space="preserve">72. </w:t>
      </w:r>
      <w:r w:rsidR="00A325D1" w:rsidRPr="00EB5C0E">
        <w:rPr>
          <w:sz w:val="24"/>
          <w:szCs w:val="24"/>
        </w:rPr>
        <w:t xml:space="preserve">Целевые установки и финансовый инструментарий управления уровнем и качеством жизни. </w:t>
      </w:r>
    </w:p>
    <w:p w:rsidR="00A325D1" w:rsidRPr="00EB5C0E" w:rsidRDefault="00825992" w:rsidP="00A325D1">
      <w:pPr>
        <w:tabs>
          <w:tab w:val="num" w:pos="-426"/>
        </w:tabs>
        <w:ind w:left="-567" w:firstLine="567"/>
        <w:rPr>
          <w:sz w:val="24"/>
          <w:szCs w:val="24"/>
        </w:rPr>
      </w:pPr>
      <w:r w:rsidRPr="00EB5C0E">
        <w:rPr>
          <w:sz w:val="24"/>
          <w:szCs w:val="24"/>
        </w:rPr>
        <w:t xml:space="preserve">73. </w:t>
      </w:r>
      <w:r w:rsidR="00A325D1" w:rsidRPr="00EB5C0E">
        <w:rPr>
          <w:sz w:val="24"/>
          <w:szCs w:val="24"/>
        </w:rPr>
        <w:t xml:space="preserve">Инструменты межбюджетного выравнивания в системе государственного управления уровнем и качеством жизни. </w:t>
      </w:r>
    </w:p>
    <w:p w:rsidR="006E4469" w:rsidRPr="00EB5C0E" w:rsidRDefault="00825992" w:rsidP="00A325D1">
      <w:pPr>
        <w:tabs>
          <w:tab w:val="num" w:pos="-426"/>
        </w:tabs>
        <w:ind w:left="-567" w:firstLine="567"/>
        <w:rPr>
          <w:sz w:val="24"/>
          <w:szCs w:val="24"/>
        </w:rPr>
      </w:pPr>
      <w:r w:rsidRPr="00EB5C0E">
        <w:rPr>
          <w:sz w:val="24"/>
          <w:szCs w:val="24"/>
        </w:rPr>
        <w:t>74.</w:t>
      </w:r>
      <w:r w:rsidR="00A325D1" w:rsidRPr="00EB5C0E">
        <w:rPr>
          <w:sz w:val="24"/>
          <w:szCs w:val="24"/>
        </w:rPr>
        <w:t>Реализация национальных проектов в контексте управления уровнем и качеством жизни в современной России.</w:t>
      </w:r>
    </w:p>
    <w:sectPr w:rsidR="006E4469" w:rsidRPr="00EB5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B1"/>
    <w:rsid w:val="002560B1"/>
    <w:rsid w:val="0050615B"/>
    <w:rsid w:val="006E4469"/>
    <w:rsid w:val="00825992"/>
    <w:rsid w:val="00A325D1"/>
    <w:rsid w:val="00EB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1D7FF-9179-4A02-B8F9-66C63C87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5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A325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uiPriority w:val="99"/>
    <w:rsid w:val="00A325D1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A325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5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C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2017-12-04T12:23:00Z</cp:lastPrinted>
  <dcterms:created xsi:type="dcterms:W3CDTF">2017-10-13T06:00:00Z</dcterms:created>
  <dcterms:modified xsi:type="dcterms:W3CDTF">2017-12-04T12:23:00Z</dcterms:modified>
</cp:coreProperties>
</file>