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D0" w:rsidRPr="00006ED0" w:rsidRDefault="00006ED0" w:rsidP="0000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06ED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Эталон ответа на билет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№</w:t>
      </w:r>
      <w:r w:rsidRPr="00006ED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006ED0" w:rsidRDefault="00006ED0" w:rsidP="0000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6ED0" w:rsidRPr="00006ED0" w:rsidRDefault="00006ED0" w:rsidP="00130C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E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Антигены бактерий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В структуре бактериальной клетки различают жгутиковые, соматические, капсульные и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некоторые другие антигены.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Жгутиковые, или Н-антигены, локализуются в их жгутиках и представляют собой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эпитопы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сократительного белка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флагеллина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6ED0">
        <w:rPr>
          <w:rFonts w:ascii="Times New Roman" w:hAnsi="Times New Roman" w:cs="Times New Roman"/>
          <w:sz w:val="24"/>
          <w:szCs w:val="24"/>
        </w:rPr>
        <w:t>Соматический</w:t>
      </w:r>
      <w:proofErr w:type="gramEnd"/>
      <w:r w:rsidRPr="00006ED0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О-антиген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>, связан с клеточной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 xml:space="preserve">стенкой бактерий. Его основу составляют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липополисахариды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>. Капсульные, или К-антигены,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встречаются у бактерий, образующих капсулу. Как правило, К-антигены состоят из кислых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полисахаридов (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уроновые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кислоты). В то же время у бациллы сибирской язвы этот антиген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построен из полипептидных цепей. По чувствительности к нагреванию различают три типа К-антигена: А, В и L.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E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Антигены вирусов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 xml:space="preserve">В структуре вирусной частицы различают ядерные,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капсидные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(или оболочечные) и</w:t>
      </w: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суперкапсидные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антигены. На поверхности некоторых вирусных частиц встречаются особые V-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антигены - гемагглютинин и фермент нейраминидаза. Антигены вирусов различаются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происхождению, часть из них вирусоспецифические, кодируются в нуклеиновой кислоте вируса.</w:t>
      </w:r>
    </w:p>
    <w:p w:rsidR="00A57838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ED0">
        <w:rPr>
          <w:rFonts w:ascii="Times New Roman" w:hAnsi="Times New Roman" w:cs="Times New Roman"/>
          <w:sz w:val="24"/>
          <w:szCs w:val="24"/>
        </w:rPr>
        <w:t xml:space="preserve">Другие, являющиеся компонентами клетки хозяина (углеводы, липиды), формируют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суперкапсид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вируса при его размножении путем почкования. Антигены многих вирусов отличаются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степенью изменчивости, что связано с постоянными мутациями в генетическом материале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D0">
        <w:rPr>
          <w:rFonts w:ascii="Times New Roman" w:hAnsi="Times New Roman" w:cs="Times New Roman"/>
          <w:sz w:val="24"/>
          <w:szCs w:val="24"/>
        </w:rPr>
        <w:t>вирусов. Примером могут служить вирус гриппа, ВИЧ и др.</w:t>
      </w:r>
    </w:p>
    <w:p w:rsid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ED0" w:rsidRPr="00006ED0" w:rsidRDefault="00006ED0" w:rsidP="00130C8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b/>
          <w:sz w:val="24"/>
          <w:szCs w:val="24"/>
        </w:rPr>
        <w:t>Антигистаминные препараты</w:t>
      </w:r>
      <w:r w:rsidRPr="00006ED0">
        <w:rPr>
          <w:rFonts w:ascii="Times New Roman" w:hAnsi="Times New Roman" w:cs="Times New Roman"/>
          <w:sz w:val="24"/>
          <w:szCs w:val="24"/>
        </w:rPr>
        <w:t xml:space="preserve">  1 поколения:</w:t>
      </w:r>
    </w:p>
    <w:p w:rsidR="00000000" w:rsidRPr="00006ED0" w:rsidRDefault="00130C8C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кратковременный эффект (прием 3–4 раза в сутки);</w:t>
      </w:r>
    </w:p>
    <w:p w:rsidR="00000000" w:rsidRPr="00006ED0" w:rsidRDefault="00130C8C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 xml:space="preserve">быстрое развитие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тахифилаксии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(необходимо менять препарат через каждые 7–10 дней);</w:t>
      </w:r>
    </w:p>
    <w:p w:rsidR="00000000" w:rsidRPr="00006ED0" w:rsidRDefault="00130C8C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низкая избирательность действия: п</w:t>
      </w:r>
      <w:r w:rsidRPr="00006ED0">
        <w:rPr>
          <w:rFonts w:ascii="Times New Roman" w:hAnsi="Times New Roman" w:cs="Times New Roman"/>
          <w:sz w:val="24"/>
          <w:szCs w:val="24"/>
        </w:rPr>
        <w:t xml:space="preserve">омимо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гистаминовых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Н1-рецепторов, они блокируют рецепторы ацетилхолина, адреналина,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серотонина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>, дофамина и ионные каналы, вызывая множество побочных эффектов: тахикардию, сухость слизистых оболочек, повышение вязкости мокроты. Они могут способствовать повы</w:t>
      </w:r>
      <w:r w:rsidRPr="00006ED0">
        <w:rPr>
          <w:rFonts w:ascii="Times New Roman" w:hAnsi="Times New Roman" w:cs="Times New Roman"/>
          <w:sz w:val="24"/>
          <w:szCs w:val="24"/>
        </w:rPr>
        <w:t>шению внутриглазного давления, нарушать мочеиспускание, вызывать боли в желудке, запоры, тошноту, рвоту, увеличивать массу тела</w:t>
      </w:r>
      <w:proofErr w:type="gramStart"/>
      <w:r w:rsidRPr="00006E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6ED0" w:rsidRDefault="00006ED0" w:rsidP="00130C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D0" w:rsidRPr="00006ED0" w:rsidRDefault="00006ED0" w:rsidP="001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Антигистаминные препараты  2 поколения:</w:t>
      </w:r>
    </w:p>
    <w:p w:rsidR="00006ED0" w:rsidRPr="00006ED0" w:rsidRDefault="00006ED0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 xml:space="preserve">высокая специфичность и высокое сродство к H1-рецепторам при отсутствии влияния на холиновые и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серотониновые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рецепторы;</w:t>
      </w:r>
    </w:p>
    <w:p w:rsidR="00006ED0" w:rsidRPr="00006ED0" w:rsidRDefault="00006ED0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- быстрое наступление клинического эффекта и длительность действия;</w:t>
      </w:r>
    </w:p>
    <w:p w:rsidR="00006ED0" w:rsidRPr="00006ED0" w:rsidRDefault="00006ED0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- минимальный седативный эффект при использовании препаратов в терапевтических дозах</w:t>
      </w:r>
    </w:p>
    <w:p w:rsidR="00006ED0" w:rsidRPr="00006ED0" w:rsidRDefault="00006ED0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тахифилаксии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при длительном применении;</w:t>
      </w:r>
    </w:p>
    <w:p w:rsidR="00006ED0" w:rsidRPr="00006ED0" w:rsidRDefault="00006ED0" w:rsidP="00130C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ED0">
        <w:rPr>
          <w:rFonts w:ascii="Times New Roman" w:hAnsi="Times New Roman" w:cs="Times New Roman"/>
          <w:sz w:val="24"/>
          <w:szCs w:val="24"/>
        </w:rPr>
        <w:t>- способность блокировать калиевые каналы сердечной мышцы, что ассоциируется с удлинением интервала QT и нарушением ритма сердца. Риск  увеличивается при сочетании антигистаминных средств с противогрибковыми (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кетоконазолом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интраконазолом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макролидами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эритромицином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кларитромицином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), антидепрессантами </w:t>
      </w:r>
      <w:r w:rsidRPr="00006ED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флуоксетином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сертралином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пароксетином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), при употреблении грейпфрутового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сока</w:t>
      </w:r>
      <w:proofErr w:type="gramStart"/>
      <w:r w:rsidRPr="00006ED0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006ED0">
        <w:rPr>
          <w:rFonts w:ascii="Times New Roman" w:hAnsi="Times New Roman" w:cs="Times New Roman"/>
          <w:sz w:val="24"/>
          <w:szCs w:val="24"/>
        </w:rPr>
        <w:t xml:space="preserve"> также у пациентов с выраженными нарушениями функции печени (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терфенадин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ED0">
        <w:rPr>
          <w:rFonts w:ascii="Times New Roman" w:hAnsi="Times New Roman" w:cs="Times New Roman"/>
          <w:sz w:val="24"/>
          <w:szCs w:val="24"/>
        </w:rPr>
        <w:t>астемизол</w:t>
      </w:r>
      <w:proofErr w:type="spellEnd"/>
      <w:r w:rsidRPr="00006ED0">
        <w:rPr>
          <w:rFonts w:ascii="Times New Roman" w:hAnsi="Times New Roman" w:cs="Times New Roman"/>
          <w:sz w:val="24"/>
          <w:szCs w:val="24"/>
        </w:rPr>
        <w:t>)</w:t>
      </w:r>
    </w:p>
    <w:p w:rsidR="00006ED0" w:rsidRPr="00006ED0" w:rsidRDefault="00006ED0" w:rsidP="00006ED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6ED0" w:rsidRPr="00006ED0" w:rsidSect="00A5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BB2"/>
    <w:multiLevelType w:val="hybridMultilevel"/>
    <w:tmpl w:val="AF061A1C"/>
    <w:lvl w:ilvl="0" w:tplc="F74491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AB4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46D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869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68E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8AB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57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C45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47A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97A92"/>
    <w:multiLevelType w:val="hybridMultilevel"/>
    <w:tmpl w:val="52E0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ED0"/>
    <w:rsid w:val="00006ED0"/>
    <w:rsid w:val="00130C8C"/>
    <w:rsid w:val="00A5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0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92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4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</cp:revision>
  <dcterms:created xsi:type="dcterms:W3CDTF">2019-12-30T22:07:00Z</dcterms:created>
  <dcterms:modified xsi:type="dcterms:W3CDTF">2019-12-30T22:12:00Z</dcterms:modified>
</cp:coreProperties>
</file>