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9" w:rsidRPr="00BC4199" w:rsidRDefault="0059076E" w:rsidP="00BC4199">
      <w:pPr>
        <w:pStyle w:val="Normal"/>
        <w:widowControl w:val="0"/>
        <w:jc w:val="both"/>
        <w:rPr>
          <w:rFonts w:eastAsia="HiddenHorzOCR"/>
          <w:b/>
          <w:u w:val="single"/>
        </w:rPr>
      </w:pPr>
      <w:r>
        <w:rPr>
          <w:rFonts w:eastAsia="HiddenHorzOCR"/>
          <w:b/>
          <w:u w:val="single"/>
        </w:rPr>
        <w:t>Эталон ответа на</w:t>
      </w:r>
      <w:r w:rsidR="00BC4199" w:rsidRPr="00BC4199">
        <w:rPr>
          <w:rFonts w:eastAsia="HiddenHorzOCR"/>
          <w:b/>
          <w:u w:val="single"/>
        </w:rPr>
        <w:t xml:space="preserve"> билет №25</w:t>
      </w:r>
    </w:p>
    <w:p w:rsidR="00BC4199" w:rsidRPr="0059076E" w:rsidRDefault="00BC4199" w:rsidP="00BC4199">
      <w:pPr>
        <w:pStyle w:val="Normal"/>
        <w:widowControl w:val="0"/>
        <w:numPr>
          <w:ilvl w:val="0"/>
          <w:numId w:val="1"/>
        </w:numPr>
        <w:jc w:val="both"/>
        <w:rPr>
          <w:rFonts w:eastAsia="HiddenHorzOCR"/>
        </w:rPr>
      </w:pPr>
      <w:r w:rsidRPr="00BC4199">
        <w:rPr>
          <w:rFonts w:eastAsia="HiddenHorzOCR"/>
        </w:rPr>
        <w:t xml:space="preserve">Комплемент – это система </w:t>
      </w:r>
      <w:proofErr w:type="spellStart"/>
      <w:r w:rsidRPr="00BC4199">
        <w:rPr>
          <w:rFonts w:eastAsia="HiddenHorzOCR"/>
        </w:rPr>
        <w:t>термолабильных</w:t>
      </w:r>
      <w:proofErr w:type="spellEnd"/>
      <w:r w:rsidRPr="00BC4199">
        <w:rPr>
          <w:rFonts w:eastAsia="HiddenHorzOCR"/>
        </w:rPr>
        <w:t xml:space="preserve"> сывороточных белков с каскадным ферментативным </w:t>
      </w:r>
      <w:proofErr w:type="spellStart"/>
      <w:r w:rsidRPr="00BC4199">
        <w:rPr>
          <w:rFonts w:eastAsia="HiddenHorzOCR"/>
        </w:rPr>
        <w:t>действием</w:t>
      </w:r>
      <w:proofErr w:type="gramStart"/>
      <w:r w:rsidRPr="00BC4199">
        <w:rPr>
          <w:rFonts w:eastAsia="HiddenHorzOCR"/>
        </w:rPr>
        <w:t>.</w:t>
      </w:r>
      <w:r w:rsidRPr="0059076E">
        <w:rPr>
          <w:rFonts w:eastAsia="HiddenHorzOCR"/>
        </w:rPr>
        <w:t>К</w:t>
      </w:r>
      <w:proofErr w:type="gramEnd"/>
      <w:r w:rsidRPr="0059076E">
        <w:rPr>
          <w:rFonts w:eastAsia="HiddenHorzOCR"/>
        </w:rPr>
        <w:t>омпоненты</w:t>
      </w:r>
      <w:proofErr w:type="spellEnd"/>
      <w:r w:rsidRPr="0059076E">
        <w:rPr>
          <w:rFonts w:eastAsia="HiddenHorzOCR"/>
        </w:rPr>
        <w:t xml:space="preserve"> комплемента не транспортируются от матери к плоду через плаценту. К концу беременности содержание комплемента в сыворотке плода составляет 50-70% от материнского уровня. В возрасте 3 месяцев у большинства детей содержание комплемента соответствует уровню взрослого </w:t>
      </w:r>
      <w:proofErr w:type="spellStart"/>
      <w:r w:rsidRPr="0059076E">
        <w:rPr>
          <w:rFonts w:eastAsia="HiddenHorzOCR"/>
        </w:rPr>
        <w:t>организма</w:t>
      </w:r>
      <w:proofErr w:type="gramStart"/>
      <w:r w:rsidRPr="0059076E">
        <w:rPr>
          <w:rFonts w:eastAsia="HiddenHorzOCR"/>
        </w:rPr>
        <w:t>.Н</w:t>
      </w:r>
      <w:proofErr w:type="gramEnd"/>
      <w:r w:rsidRPr="0059076E">
        <w:rPr>
          <w:rFonts w:eastAsia="HiddenHorzOCR"/>
        </w:rPr>
        <w:t>аиболее</w:t>
      </w:r>
      <w:proofErr w:type="spellEnd"/>
      <w:r w:rsidRPr="0059076E">
        <w:rPr>
          <w:rFonts w:eastAsia="HiddenHorzOCR"/>
        </w:rPr>
        <w:t xml:space="preserve"> важными из функций комплемента являются лизис мембран </w:t>
      </w:r>
      <w:proofErr w:type="spellStart"/>
      <w:r w:rsidRPr="0059076E">
        <w:rPr>
          <w:rFonts w:eastAsia="HiddenHorzOCR"/>
        </w:rPr>
        <w:t>патогенов</w:t>
      </w:r>
      <w:proofErr w:type="spellEnd"/>
      <w:r w:rsidRPr="0059076E">
        <w:rPr>
          <w:rFonts w:eastAsia="HiddenHorzOCR"/>
        </w:rPr>
        <w:t xml:space="preserve"> и </w:t>
      </w:r>
      <w:proofErr w:type="spellStart"/>
      <w:r w:rsidRPr="0059076E">
        <w:rPr>
          <w:rFonts w:eastAsia="HiddenHorzOCR"/>
        </w:rPr>
        <w:t>опсонизация</w:t>
      </w:r>
      <w:proofErr w:type="spellEnd"/>
      <w:r w:rsidRPr="0059076E">
        <w:rPr>
          <w:rFonts w:eastAsia="HiddenHorzOCR"/>
        </w:rPr>
        <w:t xml:space="preserve">  </w:t>
      </w:r>
      <w:proofErr w:type="spellStart"/>
      <w:r w:rsidRPr="0059076E">
        <w:rPr>
          <w:rFonts w:eastAsia="HiddenHorzOCR"/>
        </w:rPr>
        <w:t>микроорганизмов.Активация</w:t>
      </w:r>
      <w:proofErr w:type="spellEnd"/>
      <w:r w:rsidRPr="0059076E">
        <w:rPr>
          <w:rFonts w:eastAsia="HiddenHorzOCR"/>
        </w:rPr>
        <w:t xml:space="preserve"> системы комплемента осуществляется в два основных этапа (фазы):</w:t>
      </w:r>
    </w:p>
    <w:p w:rsidR="00BC4199" w:rsidRPr="00BC4199" w:rsidRDefault="00BC4199" w:rsidP="00BC4199">
      <w:pPr>
        <w:pStyle w:val="Normal"/>
        <w:widowControl w:val="0"/>
        <w:jc w:val="both"/>
        <w:rPr>
          <w:rFonts w:eastAsia="HiddenHorzOCR"/>
        </w:rPr>
      </w:pPr>
      <w:r w:rsidRPr="00BC4199">
        <w:rPr>
          <w:rFonts w:eastAsia="HiddenHorzOCR"/>
        </w:rPr>
        <w:t>- запуск активации (происходит при участии факторов различной природы, не относящихся к системе комплемента), завершающийся формированием С3/С5-конвертаз;</w:t>
      </w:r>
    </w:p>
    <w:p w:rsidR="00BC4199" w:rsidRPr="00BC4199" w:rsidRDefault="00BC4199" w:rsidP="00BC4199">
      <w:pPr>
        <w:pStyle w:val="Normal"/>
        <w:widowControl w:val="0"/>
        <w:jc w:val="both"/>
        <w:rPr>
          <w:rFonts w:eastAsia="HiddenHorzOCR"/>
        </w:rPr>
      </w:pPr>
      <w:r w:rsidRPr="00BC4199">
        <w:rPr>
          <w:rFonts w:eastAsia="HiddenHorzOCR"/>
        </w:rPr>
        <w:t>-  лизис клеток-мишеней.</w:t>
      </w:r>
    </w:p>
    <w:p w:rsidR="0059076E" w:rsidRDefault="00BC4199" w:rsidP="0059076E">
      <w:pPr>
        <w:pStyle w:val="Normal"/>
        <w:widowControl w:val="0"/>
        <w:jc w:val="both"/>
        <w:rPr>
          <w:rFonts w:eastAsia="HiddenHorzOCR"/>
        </w:rPr>
      </w:pPr>
      <w:r w:rsidRPr="00BC4199">
        <w:rPr>
          <w:rFonts w:eastAsia="HiddenHorzOCR"/>
        </w:rPr>
        <w:t xml:space="preserve">Пути активации кардинально различаются особенностями первой фазы, тогда как фаза клеточного лизиса одинакова для всех трех </w:t>
      </w:r>
      <w:proofErr w:type="spellStart"/>
      <w:r w:rsidRPr="00BC4199">
        <w:rPr>
          <w:rFonts w:eastAsia="HiddenHorzOCR"/>
        </w:rPr>
        <w:t>путей</w:t>
      </w:r>
      <w:proofErr w:type="gramStart"/>
      <w:r w:rsidRPr="00BC4199">
        <w:rPr>
          <w:rFonts w:eastAsia="HiddenHorzOCR"/>
        </w:rPr>
        <w:t>.К</w:t>
      </w:r>
      <w:proofErr w:type="gramEnd"/>
      <w:r w:rsidRPr="00BC4199">
        <w:rPr>
          <w:rFonts w:eastAsia="HiddenHorzOCR"/>
        </w:rPr>
        <w:t>лассический</w:t>
      </w:r>
      <w:proofErr w:type="spellEnd"/>
      <w:r w:rsidRPr="00BC4199">
        <w:rPr>
          <w:rFonts w:eastAsia="HiddenHorzOCR"/>
        </w:rPr>
        <w:t xml:space="preserve"> путь активации комплемента начинается с присоединения белка плазмы-компонента С1 (состоит из трех белков-фрагментов компонента – С1q, C1r и C1s, образующих комплекс в присутствии ионов кальция) к иммунным комплексам, в состав которых входят IgG1, IgG2, IgG3 или </w:t>
      </w:r>
      <w:proofErr w:type="spellStart"/>
      <w:r w:rsidRPr="00BC4199">
        <w:rPr>
          <w:rFonts w:eastAsia="HiddenHorzOCR"/>
        </w:rPr>
        <w:t>IgM</w:t>
      </w:r>
      <w:proofErr w:type="spellEnd"/>
      <w:r w:rsidRPr="00BC4199">
        <w:rPr>
          <w:rFonts w:eastAsia="HiddenHorzOCR"/>
        </w:rPr>
        <w:t>. После связывания фрагмента компонента комплемента (</w:t>
      </w:r>
      <w:proofErr w:type="spellStart"/>
      <w:r w:rsidRPr="00BC4199">
        <w:rPr>
          <w:rFonts w:eastAsia="HiddenHorzOCR"/>
        </w:rPr>
        <w:t>Clq</w:t>
      </w:r>
      <w:proofErr w:type="spellEnd"/>
      <w:r w:rsidRPr="00BC4199">
        <w:rPr>
          <w:rFonts w:eastAsia="HiddenHorzOCR"/>
        </w:rPr>
        <w:t>) с иммунным комплексом происходит активация С1г и С1s, которые расщепляют белки плазмы-компоненты С</w:t>
      </w:r>
      <w:proofErr w:type="gramStart"/>
      <w:r w:rsidRPr="00BC4199">
        <w:rPr>
          <w:rFonts w:eastAsia="HiddenHorzOCR"/>
        </w:rPr>
        <w:t>4</w:t>
      </w:r>
      <w:proofErr w:type="gramEnd"/>
      <w:r w:rsidRPr="00BC4199">
        <w:rPr>
          <w:rFonts w:eastAsia="HiddenHorzOCR"/>
        </w:rPr>
        <w:t xml:space="preserve"> и С2 с образованием комплекса C4b2a, который является </w:t>
      </w:r>
      <w:proofErr w:type="spellStart"/>
      <w:r w:rsidRPr="00BC4199">
        <w:rPr>
          <w:rFonts w:eastAsia="HiddenHorzOCR"/>
        </w:rPr>
        <w:t>СЗ-конвертазой</w:t>
      </w:r>
      <w:proofErr w:type="spellEnd"/>
      <w:r w:rsidRPr="00BC4199">
        <w:rPr>
          <w:rFonts w:eastAsia="HiddenHorzOCR"/>
        </w:rPr>
        <w:t xml:space="preserve"> классического пути. Этот фермент расщепляет белок плазмы - компонент СЗ с образованием фрагмента компонента </w:t>
      </w:r>
      <w:proofErr w:type="spellStart"/>
      <w:r w:rsidRPr="00BC4199">
        <w:rPr>
          <w:rFonts w:eastAsia="HiddenHorzOCR"/>
        </w:rPr>
        <w:t>СЗ</w:t>
      </w:r>
      <w:proofErr w:type="gramStart"/>
      <w:r w:rsidRPr="00BC4199">
        <w:rPr>
          <w:rFonts w:eastAsia="HiddenHorzOCR"/>
        </w:rPr>
        <w:t>b</w:t>
      </w:r>
      <w:proofErr w:type="spellEnd"/>
      <w:proofErr w:type="gramEnd"/>
      <w:r w:rsidRPr="00BC4199">
        <w:rPr>
          <w:rFonts w:eastAsia="HiddenHorzOCR"/>
        </w:rPr>
        <w:t>, который, в свою очередь, активирует остальные компоненты комплемента.</w:t>
      </w:r>
    </w:p>
    <w:p w:rsidR="00BC4199" w:rsidRPr="0059076E" w:rsidRDefault="00BC4199" w:rsidP="0059076E">
      <w:pPr>
        <w:pStyle w:val="Normal"/>
        <w:widowControl w:val="0"/>
        <w:jc w:val="both"/>
        <w:rPr>
          <w:rFonts w:eastAsia="HiddenHorzOCR"/>
        </w:rPr>
      </w:pPr>
      <w:r w:rsidRPr="00BC4199">
        <w:t xml:space="preserve">                                            С4а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</w:t>
      </w:r>
      <w:r w:rsidRPr="00BC4199">
        <w:rPr>
          <w:rFonts w:ascii="Cambria Math" w:hAnsi="Cambria Math"/>
        </w:rPr>
        <w:t>↗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C4                                                             С3а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C1 </w:t>
      </w:r>
      <w:proofErr w:type="spellStart"/>
      <w:r w:rsidRPr="00BC4199">
        <w:t>эстераза</w:t>
      </w:r>
      <w:proofErr w:type="spellEnd"/>
      <w:r w:rsidRPr="00BC4199">
        <w:t xml:space="preserve">       </w:t>
      </w:r>
      <w:r w:rsidRPr="00BC4199">
        <w:rPr>
          <w:rFonts w:ascii="Cambria Math" w:hAnsi="Cambria Math"/>
        </w:rPr>
        <w:t>↗</w:t>
      </w:r>
      <w:r w:rsidRPr="00BC4199">
        <w:t xml:space="preserve">        </w:t>
      </w:r>
      <w:r w:rsidRPr="00BC4199">
        <w:rPr>
          <w:rFonts w:ascii="Cambria Math" w:hAnsi="Cambria Math"/>
        </w:rPr>
        <w:t>↘</w:t>
      </w:r>
      <w:r w:rsidRPr="00BC4199">
        <w:t xml:space="preserve">                                                  </w:t>
      </w:r>
      <w:r w:rsidRPr="00BC4199">
        <w:rPr>
          <w:rFonts w:ascii="Cambria Math" w:hAnsi="Cambria Math"/>
        </w:rPr>
        <w:t>↗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С1qC1rC1s    →      </w:t>
      </w:r>
      <w:proofErr w:type="spellStart"/>
      <w:r w:rsidRPr="00BC4199">
        <w:t>→</w:t>
      </w:r>
      <w:proofErr w:type="spellEnd"/>
      <w:r w:rsidRPr="00BC4199">
        <w:t xml:space="preserve">      </w:t>
      </w:r>
      <w:proofErr w:type="spellStart"/>
      <w:r w:rsidRPr="00BC4199">
        <w:t>→</w:t>
      </w:r>
      <w:proofErr w:type="spellEnd"/>
      <w:r w:rsidRPr="00BC4199">
        <w:t xml:space="preserve">                     С4b C2a (C3 </w:t>
      </w:r>
      <w:proofErr w:type="spellStart"/>
      <w:r w:rsidRPr="00BC4199">
        <w:t>конвертаза</w:t>
      </w:r>
      <w:proofErr w:type="spellEnd"/>
      <w:r w:rsidRPr="00BC4199">
        <w:t>)   → С3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↑                                                   </w:t>
      </w:r>
      <w:r w:rsidRPr="00BC4199">
        <w:rPr>
          <w:rFonts w:ascii="Cambria Math" w:hAnsi="Cambria Math"/>
        </w:rPr>
        <w:t>↘</w:t>
      </w:r>
      <w:r w:rsidRPr="00BC4199">
        <w:t xml:space="preserve">             </w:t>
      </w:r>
      <w:r w:rsidRPr="00BC4199">
        <w:rPr>
          <w:rFonts w:ascii="Cambria Math" w:hAnsi="Cambria Math"/>
        </w:rPr>
        <w:t>↗</w:t>
      </w:r>
      <w:r w:rsidRPr="00BC4199">
        <w:t xml:space="preserve">         </w:t>
      </w:r>
      <w:r w:rsidRPr="00BC4199">
        <w:rPr>
          <w:rFonts w:ascii="Cambria Math" w:hAnsi="Cambria Math"/>
        </w:rPr>
        <w:t>↘</w:t>
      </w:r>
      <w:r w:rsidRPr="00BC4199">
        <w:t xml:space="preserve">                           </w:t>
      </w:r>
      <w:proofErr w:type="spellStart"/>
      <w:r w:rsidRPr="00BC4199">
        <w:rPr>
          <w:rFonts w:ascii="Cambria Math" w:hAnsi="Cambria Math"/>
        </w:rPr>
        <w:t>↘</w:t>
      </w:r>
      <w:proofErr w:type="spellEnd"/>
    </w:p>
    <w:p w:rsidR="00BC4199" w:rsidRPr="00BC4199" w:rsidRDefault="00BC4199" w:rsidP="00BC4199">
      <w:pPr>
        <w:pStyle w:val="Normal"/>
        <w:jc w:val="both"/>
      </w:pPr>
      <w:r w:rsidRPr="00BC4199">
        <w:t xml:space="preserve"> ↑   </w:t>
      </w:r>
      <w:proofErr w:type="spellStart"/>
      <w:r w:rsidRPr="00BC4199">
        <w:t>Са</w:t>
      </w:r>
      <w:proofErr w:type="spellEnd"/>
      <w:r w:rsidRPr="00BC4199">
        <w:t xml:space="preserve">⁺⁺                                                  C2                       </w:t>
      </w:r>
      <w:r w:rsidRPr="00BC4199">
        <w:rPr>
          <w:rFonts w:ascii="Cambria Math" w:hAnsi="Cambria Math"/>
        </w:rPr>
        <w:t>↘</w:t>
      </w:r>
      <w:r w:rsidRPr="00BC4199">
        <w:t xml:space="preserve">                         С3b</w:t>
      </w:r>
    </w:p>
    <w:p w:rsidR="0059076E" w:rsidRDefault="00BC4199" w:rsidP="00BC4199">
      <w:pPr>
        <w:pStyle w:val="Normal"/>
        <w:jc w:val="both"/>
      </w:pPr>
      <w:r w:rsidRPr="00BC4199">
        <w:t xml:space="preserve">↑                                                                   </w:t>
      </w:r>
      <w:r w:rsidRPr="00BC4199">
        <w:rPr>
          <w:rFonts w:ascii="Cambria Math" w:hAnsi="Cambria Math"/>
        </w:rPr>
        <w:t>↘</w:t>
      </w:r>
      <w:r w:rsidRPr="00BC4199">
        <w:t xml:space="preserve">                        </w:t>
      </w:r>
      <w:proofErr w:type="spellStart"/>
      <w:r w:rsidRPr="00BC4199">
        <w:rPr>
          <w:rFonts w:ascii="Cambria Math" w:hAnsi="Cambria Math"/>
        </w:rPr>
        <w:t>↘</w:t>
      </w:r>
      <w:proofErr w:type="spellEnd"/>
      <w:r w:rsidRPr="00BC4199">
        <w:t xml:space="preserve">              </w:t>
      </w:r>
      <w:r w:rsidRPr="00BC4199">
        <w:rPr>
          <w:rFonts w:ascii="Cambria Math" w:hAnsi="Cambria Math"/>
        </w:rPr>
        <w:t>↙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-</w:t>
      </w:r>
      <w:proofErr w:type="spellStart"/>
      <w:r w:rsidRPr="00BC4199">
        <w:t>Ат</w:t>
      </w:r>
      <w:proofErr w:type="spellEnd"/>
      <w:r w:rsidRPr="00BC4199">
        <w:t>(</w:t>
      </w:r>
      <w:proofErr w:type="spellStart"/>
      <w:r w:rsidRPr="00BC4199">
        <w:t>IgM</w:t>
      </w:r>
      <w:proofErr w:type="spellEnd"/>
      <w:r w:rsidRPr="00BC4199">
        <w:t>/</w:t>
      </w:r>
      <w:proofErr w:type="spellStart"/>
      <w:r w:rsidRPr="00BC4199">
        <w:t>IgG</w:t>
      </w:r>
      <w:proofErr w:type="spellEnd"/>
      <w:r w:rsidRPr="00BC4199">
        <w:t>)                                                      C2b                 C4bC2aC3b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                                            (C5 </w:t>
      </w:r>
      <w:proofErr w:type="spellStart"/>
      <w:r w:rsidRPr="00BC4199">
        <w:t>конвертаза</w:t>
      </w:r>
      <w:proofErr w:type="spellEnd"/>
      <w:r w:rsidRPr="00BC4199">
        <w:t>)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                                                    </w:t>
      </w:r>
      <w:proofErr w:type="spellStart"/>
      <w:r w:rsidRPr="00BC4199">
        <w:t>↓</w:t>
      </w:r>
      <w:proofErr w:type="spellEnd"/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                                                    С5</w:t>
      </w:r>
    </w:p>
    <w:p w:rsidR="00BC4199" w:rsidRPr="00BC4199" w:rsidRDefault="00BC4199" w:rsidP="00BC4199">
      <w:pPr>
        <w:pStyle w:val="Normal"/>
        <w:jc w:val="both"/>
      </w:pPr>
      <w:r w:rsidRPr="00BC4199">
        <w:lastRenderedPageBreak/>
        <w:t xml:space="preserve">                                                                                                        </w:t>
      </w:r>
      <w:r w:rsidRPr="00BC4199">
        <w:rPr>
          <w:rFonts w:ascii="Cambria Math" w:hAnsi="Cambria Math"/>
        </w:rPr>
        <w:t>↙</w:t>
      </w:r>
      <w:r w:rsidRPr="00BC4199">
        <w:t xml:space="preserve">       </w:t>
      </w:r>
      <w:r w:rsidRPr="00BC4199">
        <w:rPr>
          <w:rFonts w:ascii="Cambria Math" w:hAnsi="Cambria Math"/>
        </w:rPr>
        <w:t>↘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                                         С5b             C5a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                                    </w:t>
      </w:r>
      <w:r w:rsidRPr="00BC4199">
        <w:rPr>
          <w:rFonts w:ascii="Cambria Math" w:hAnsi="Cambria Math"/>
        </w:rPr>
        <w:t>↙</w:t>
      </w:r>
    </w:p>
    <w:p w:rsidR="00BC4199" w:rsidRPr="00BC4199" w:rsidRDefault="00BC4199" w:rsidP="00BC4199">
      <w:pPr>
        <w:pStyle w:val="Normal"/>
        <w:jc w:val="both"/>
      </w:pPr>
      <w:r w:rsidRPr="00BC4199">
        <w:t xml:space="preserve">                                                         С</w:t>
      </w:r>
      <w:proofErr w:type="gramStart"/>
      <w:r w:rsidRPr="00BC4199">
        <w:t>9</w:t>
      </w:r>
      <w:proofErr w:type="gramEnd"/>
      <w:r w:rsidRPr="00BC4199">
        <w:t xml:space="preserve"> ← С8 ← С7 ← С6</w:t>
      </w:r>
    </w:p>
    <w:p w:rsidR="00000000" w:rsidRPr="00BC4199" w:rsidRDefault="0059076E" w:rsidP="00BC41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199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</w:t>
      </w:r>
      <w:r w:rsidRPr="00BC41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C4199">
        <w:rPr>
          <w:rFonts w:ascii="Times New Roman" w:hAnsi="Times New Roman" w:cs="Times New Roman"/>
          <w:sz w:val="24"/>
          <w:szCs w:val="24"/>
        </w:rPr>
        <w:t xml:space="preserve"> </w:t>
      </w:r>
      <w:r w:rsidRPr="00BC4199">
        <w:rPr>
          <w:rFonts w:ascii="Times New Roman" w:hAnsi="Times New Roman" w:cs="Times New Roman"/>
          <w:sz w:val="24"/>
          <w:szCs w:val="24"/>
        </w:rPr>
        <w:t>по структуре -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пентамер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, самый  крупный иммуноглобулин, содержится преимущественно во внутрисосудистом русле 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молекулярная масса 970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Кда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полужизни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5-10 суток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Содержание в сыворотке </w:t>
      </w:r>
      <w:r w:rsidRPr="00BC4199">
        <w:rPr>
          <w:rFonts w:ascii="Times New Roman" w:hAnsi="Times New Roman" w:cs="Times New Roman"/>
          <w:sz w:val="24"/>
          <w:szCs w:val="24"/>
        </w:rPr>
        <w:t>крови 1,5 мг/мл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 Имеется добавочная </w:t>
      </w:r>
      <w:r w:rsidRPr="00BC419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C4199">
        <w:rPr>
          <w:rFonts w:ascii="Times New Roman" w:hAnsi="Times New Roman" w:cs="Times New Roman"/>
          <w:sz w:val="24"/>
          <w:szCs w:val="24"/>
        </w:rPr>
        <w:t>-</w:t>
      </w:r>
      <w:r w:rsidRPr="00BC4199">
        <w:rPr>
          <w:rFonts w:ascii="Times New Roman" w:hAnsi="Times New Roman" w:cs="Times New Roman"/>
          <w:sz w:val="24"/>
          <w:szCs w:val="24"/>
        </w:rPr>
        <w:t xml:space="preserve">цепь, которая принимает участие в полимеризации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мономерных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Иммуноглобулин первичного иммунного ответа. 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>В норме его количество – около 10% от общего пула иммуноглобулинов сыворотки крови;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>Участвует в реакци</w:t>
      </w:r>
      <w:r w:rsidRPr="00BC4199">
        <w:rPr>
          <w:rFonts w:ascii="Times New Roman" w:hAnsi="Times New Roman" w:cs="Times New Roman"/>
          <w:sz w:val="24"/>
          <w:szCs w:val="24"/>
        </w:rPr>
        <w:t xml:space="preserve">ях агглютинации, изогемагглютинины относятся к </w:t>
      </w:r>
      <w:proofErr w:type="spellStart"/>
      <w:r w:rsidRPr="00BC4199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</w:t>
      </w:r>
      <w:r w:rsidRPr="00BC4199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 не может проходить через плацентарный барьер</w:t>
      </w:r>
    </w:p>
    <w:p w:rsidR="00000000" w:rsidRPr="00BC4199" w:rsidRDefault="0059076E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C4199">
        <w:rPr>
          <w:rFonts w:ascii="Times New Roman" w:hAnsi="Times New Roman" w:cs="Times New Roman"/>
          <w:sz w:val="24"/>
          <w:szCs w:val="24"/>
          <w:lang w:val="en-US"/>
        </w:rPr>
        <w:t>Fc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–</w:t>
      </w:r>
      <w:r w:rsidRPr="00BC4199">
        <w:rPr>
          <w:rFonts w:ascii="Times New Roman" w:hAnsi="Times New Roman" w:cs="Times New Roman"/>
          <w:sz w:val="24"/>
          <w:szCs w:val="24"/>
        </w:rPr>
        <w:t xml:space="preserve"> фрагменте имеет участок для связывания с 1 компонентом комплемента (активирует комплемент по классическому пути</w:t>
      </w:r>
      <w:proofErr w:type="gramStart"/>
      <w:r w:rsidRPr="00BC41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34335" w:rsidRPr="00BC4199" w:rsidRDefault="00BC4199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>Является мембранным рецептором В-лимфоцитов</w:t>
      </w:r>
    </w:p>
    <w:p w:rsidR="00BC4199" w:rsidRPr="00BC4199" w:rsidRDefault="00BC4199" w:rsidP="00BC41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4199" w:rsidRPr="00BC4199" w:rsidRDefault="00BC4199" w:rsidP="00BC41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>Острая крапивница</w:t>
      </w:r>
      <w:proofErr w:type="gramStart"/>
      <w:r w:rsidRPr="00BC41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4199">
        <w:rPr>
          <w:rFonts w:ascii="Times New Roman" w:hAnsi="Times New Roman" w:cs="Times New Roman"/>
          <w:sz w:val="24"/>
          <w:szCs w:val="24"/>
        </w:rPr>
        <w:t xml:space="preserve"> лечебные мероприятия.</w:t>
      </w:r>
    </w:p>
    <w:p w:rsidR="00BC4199" w:rsidRPr="00BC4199" w:rsidRDefault="00BC4199" w:rsidP="00BC419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>проведения терапевтических мероприятий. Объем фармакотерапии определяется степенью тяжести острой крапивницы.</w:t>
      </w:r>
    </w:p>
    <w:p w:rsidR="00BC4199" w:rsidRPr="00BC4199" w:rsidRDefault="00BC4199" w:rsidP="00BC419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99">
        <w:rPr>
          <w:rFonts w:ascii="Times New Roman" w:hAnsi="Times New Roman" w:cs="Times New Roman"/>
          <w:sz w:val="24"/>
          <w:szCs w:val="24"/>
        </w:rPr>
        <w:t xml:space="preserve">При легком течении крапивницы назначаются антигистаминные препараты II поколения </w:t>
      </w:r>
      <w:proofErr w:type="spellStart"/>
      <w:r w:rsidRPr="00BC4199">
        <w:rPr>
          <w:rFonts w:ascii="Times New Roman" w:hAnsi="Times New Roman" w:cs="Times New Roman"/>
          <w:i/>
          <w:iCs/>
          <w:sz w:val="24"/>
          <w:szCs w:val="24"/>
        </w:rPr>
        <w:t>per</w:t>
      </w:r>
      <w:proofErr w:type="spellEnd"/>
      <w:r w:rsidRPr="00BC41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4199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. Курс лечения составляет 1 месяц. При заболевании средней степени тяжести и тяжелого течения препараты вводятся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перэнтерально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4199">
        <w:rPr>
          <w:rFonts w:ascii="Times New Roman" w:hAnsi="Times New Roman" w:cs="Times New Roman"/>
          <w:sz w:val="24"/>
          <w:szCs w:val="24"/>
        </w:rPr>
        <w:t>В этом случае предпочтительны антигистаминные препараты I поколения, так как только они имеют инъекционную форму применения (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клемастин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0,1% или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хлорпирамин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2,5% в возрастных дозировках в/м или в/в до 2 раз в сутки в течение 5–7дней).</w:t>
      </w:r>
      <w:proofErr w:type="gramEnd"/>
      <w:r w:rsidRPr="00BC4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99">
        <w:rPr>
          <w:rFonts w:ascii="Times New Roman" w:hAnsi="Times New Roman" w:cs="Times New Roman"/>
          <w:sz w:val="24"/>
          <w:szCs w:val="24"/>
        </w:rPr>
        <w:t xml:space="preserve">Больным с тяжелыми формами крапивницы необходимо дополнительно вводить ГКС системного действия (из расчета на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преднизолон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в/м или в/в 1–2 мг/кг массы тела), а также по показаниям провести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дезинтоксикационную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терапию в течение 3–4 дней (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гемодез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по 2,5 мл/кг в/в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>, максимальная разовая доза для детей грудного возраста – 50 мл, для детей 2–5 лет – 70 мл, для</w:t>
      </w:r>
      <w:proofErr w:type="gramEnd"/>
      <w:r w:rsidRPr="00BC4199">
        <w:rPr>
          <w:rFonts w:ascii="Times New Roman" w:hAnsi="Times New Roman" w:cs="Times New Roman"/>
          <w:sz w:val="24"/>
          <w:szCs w:val="24"/>
        </w:rPr>
        <w:t xml:space="preserve"> детей 6–9 лет – 100–150 мл, для детей 10–15 лет – 200 мл, взрослым 200–400 мл </w:t>
      </w:r>
      <w:proofErr w:type="gramStart"/>
      <w:r w:rsidRPr="00BC41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4199">
        <w:rPr>
          <w:rFonts w:ascii="Times New Roman" w:hAnsi="Times New Roman" w:cs="Times New Roman"/>
          <w:sz w:val="24"/>
          <w:szCs w:val="24"/>
        </w:rPr>
        <w:t xml:space="preserve">/в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). Через 2–3 дня при положительной клинической динамике </w:t>
      </w:r>
      <w:proofErr w:type="spellStart"/>
      <w:r w:rsidRPr="00BC4199">
        <w:rPr>
          <w:rFonts w:ascii="Times New Roman" w:hAnsi="Times New Roman" w:cs="Times New Roman"/>
          <w:sz w:val="24"/>
          <w:szCs w:val="24"/>
        </w:rPr>
        <w:t>инфузионную</w:t>
      </w:r>
      <w:proofErr w:type="spellEnd"/>
      <w:r w:rsidRPr="00BC4199">
        <w:rPr>
          <w:rFonts w:ascii="Times New Roman" w:hAnsi="Times New Roman" w:cs="Times New Roman"/>
          <w:sz w:val="24"/>
          <w:szCs w:val="24"/>
        </w:rPr>
        <w:t xml:space="preserve"> терапию отменяют, а антигистаминные препараты I поколения </w:t>
      </w:r>
      <w:proofErr w:type="gramStart"/>
      <w:r w:rsidRPr="00BC4199">
        <w:rPr>
          <w:rFonts w:ascii="Times New Roman" w:hAnsi="Times New Roman" w:cs="Times New Roman"/>
          <w:sz w:val="24"/>
          <w:szCs w:val="24"/>
        </w:rPr>
        <w:t>заменяют на препараты</w:t>
      </w:r>
      <w:proofErr w:type="gramEnd"/>
      <w:r w:rsidRPr="00BC4199">
        <w:rPr>
          <w:rFonts w:ascii="Times New Roman" w:hAnsi="Times New Roman" w:cs="Times New Roman"/>
          <w:sz w:val="24"/>
          <w:szCs w:val="24"/>
        </w:rPr>
        <w:t xml:space="preserve"> II поколения, которые применяют в течение месяца.</w:t>
      </w:r>
    </w:p>
    <w:sectPr w:rsidR="00BC4199" w:rsidRPr="00BC4199" w:rsidSect="00BC4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B86"/>
    <w:multiLevelType w:val="hybridMultilevel"/>
    <w:tmpl w:val="1C009B7E"/>
    <w:lvl w:ilvl="0" w:tplc="A86832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E8A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0AA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823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54D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0C0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FEE9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43F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1881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E412E35"/>
    <w:multiLevelType w:val="hybridMultilevel"/>
    <w:tmpl w:val="28B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199"/>
    <w:rsid w:val="00334335"/>
    <w:rsid w:val="0059076E"/>
    <w:rsid w:val="00BC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4199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1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9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4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3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6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3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2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0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4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0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2019-12-30T21:53:00Z</dcterms:created>
  <dcterms:modified xsi:type="dcterms:W3CDTF">2019-12-30T22:05:00Z</dcterms:modified>
</cp:coreProperties>
</file>