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тестов, билетов и ситуационных задач с эталонами ответов промежуточной аттестации 3 семестра</w:t>
      </w:r>
    </w:p>
    <w:p>
      <w:pPr>
        <w:spacing w:after="200" w:line="276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tbl>
      <w:tblPr>
        <w:tblStyle w:val="3"/>
        <w:tblpPr w:leftFromText="180" w:rightFromText="180" w:vertAnchor="text" w:horzAnchor="page" w:tblpX="1238" w:tblpY="12"/>
        <w:tblOverlap w:val="never"/>
        <w:tblW w:w="93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209"/>
        <w:gridCol w:w="7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КАКОВО СОДЕРЖАНИЕ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СЫВОРОТКЕ КРОВИ ЗДОРОВЫХ ЛЮДЕЙ 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0,00003-0,001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8-16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более 20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0,5-1,0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ОСНОВЕ КАКОГО ЗАБОЛЕВАНИЯ ЛЕЖИТ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-ОПОСРЕДОВАННЫЙ МЕХАНИЗМ РАЗВИТИЯ?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поллиноз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сывороточная болезнь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ревматоидный артрит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лекарственная гранулоцитопения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СОСТОЯНИЕ, ПРИ КОТОРОМ СУММАРНЫЙ ПОКАЗАТЕЛЬ ВСЕХ ИММУНОГЛОБУЛИНОВ В СЫВОРОТКЕ НИЖЕ 2 Г/Л, НАЗЫВАЕТСЯ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гипогаммаглобулинемией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агаммаглобулинемией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гипогликемией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гипоальбуминемией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ПРЕФОРМИРОВАННЫМ МЕДИАТОРОМ ТУЧНОЙ КЛЕТКИ ЯВЛЯЕТСЯ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гистамин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простагландин Е 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лейкотриен С4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фактор активации тромбоцитов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ВЫСОКИЙ УРОВЕНЬ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ОБЩЕГО В СЫВОРОТКЕ КРОВИ С ОДНОВРЕМЕННОЙ ГИПЕРЭОЗИНОФИЛИЕЙ ПОЗВОЛЯЕТ ПРЕДПОЛОЖИТЬ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глистную инвазию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туберкулез легких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хроническую обструктивную болезнь легких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синдром Жильбера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В СЫВОРОТКЕ КРОВИ УВЕЛИЧИВАЕТСЯ ПРИ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атопических заболеваниях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остром бронхите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отравлении грибами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хроническом некалькулезном холецистите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007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  <w:t>Фагоцитарная активность и фагоцитарное число в тесте фагоцитоза позволяют охарактеризовать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ind w:left="72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поглотительную активность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хемотаксическую активность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переваривающую активность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008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aps/>
                <w:sz w:val="24"/>
                <w:szCs w:val="24"/>
                <w:lang w:eastAsia="ru-RU"/>
              </w:rPr>
              <w:t>Какой метод позволяет оценить в сыворотке крови уровень Ig A,M,G?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73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метод радиальной иммунодиффузии в геле по Манчини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метод проточной цитофлуориметрии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73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исследование общего анализа крови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исследование костно-мозгового пунктата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009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aps/>
                <w:sz w:val="24"/>
                <w:szCs w:val="24"/>
                <w:lang w:eastAsia="ru-RU"/>
              </w:rPr>
              <w:t>Показатели теста ВОССТАНОВЛЕНИЯ НИТРО-СИНЕГО ТЕТРАЗОЛИЯ (НСТ-ТЕСТ) характеризуют: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ru-RU"/>
              </w:rPr>
              <w:t>переваривающую активность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хемотаксическую активность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  <w:t>Для создания приобретенного искусственного активного иммунитета применяют: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иммуноглобулины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сыворотки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бактериофаги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 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иммунологии с аллергологией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“Клиническая иммунология и аллергология”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31.08.26 “Аллергология и иммунология”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и наименование)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Экзаменационный билет №1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Инструкция:</w:t>
      </w:r>
    </w:p>
    <w:p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Внимательно прочитайте задание.</w:t>
      </w:r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Время выполнения задания – 60 мин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иммунная система?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совместимой пары «донор – реципиент».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Задача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Задача. 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иммунологии с аллергологией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“Клиническая иммунология и аллергология”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31.08.26 “Аллергология и иммунология”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и наименование)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Экзаменационный билет № 2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Инструкция:</w:t>
      </w:r>
    </w:p>
    <w:p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Внимательно прочитайте задание.</w:t>
      </w:r>
    </w:p>
    <w:p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Время выполнения задания – 60 мин.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иммунитета.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Иммуносупрессивная терапия при трансплантации органов и тканей.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Задача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Задача. 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Эталоны ответов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1.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1.Дайте определение иммунитета.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Иммунитет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способность многоклеточных организмов поддерживать постоянство своего макромолекулярного состава путем распознавания, а затем удаления чужеродных молекул, что обеспечивает устойчивость к инфекционным агентам и резистентность к опухолям. При этом под «чужеродными макромолекулами», понимают прежде всего продукты чужеродной генетической информации, отличные от продуктов собственных генов.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2. Подбор совместимой пары «донор – реципиент».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настоящее время возможна трансплантация органов, тканей и клеточных структур. Однако основной проблемой при проведении трансплантации органов и тканей  является подбор совместимой пары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«донор – реципиент».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Подбор донора осуществляют по двум основным системам антигенов: АВ0 и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HC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Оптимальным является совпадение по систем АВО, и по антигенам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MHC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В случае несовпадения по системе АВ0, подбор проводят по правилам гемотрансфузии: 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у реципиента группа крови 0(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), возможна пересадка только от донора с группой 0(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); 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у реципиента группа крови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), возможна пересадка только от донора с группой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); 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у реципиента группа крови В(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), возможна пересадка от донора с группой 0(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 и В(Ш); 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у реципиента группа крови АВ(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), возможна пересадка от донора с группой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), В(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AB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). Совместимость по резус-фактору между донором и реципиентом учитывают индивидуально для трансплантации сердца и комплекса «сердце-лёгкие» при проведении искусственного кровообращения и использовании гемотрансфузии.                                                             </w:t>
      </w:r>
    </w:p>
    <w:p>
      <w:pPr>
        <w:shd w:val="clear" w:color="auto" w:fill="FFFFFF"/>
        <w:spacing w:after="135" w:line="270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 целью выявления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>HLA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-фенотипа проводится типирование лимфоцитов периферической крови донора и реципиента.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Совместимость по антигенам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MHC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считают определяющей при подборе донора. Для определения совместимости пары донор-реципиент используют перекрестную пробу. При перекрестной пробе лимфоциты донора  инкубируют в сыворотке крови реципиента в присутствии комплемента. При выявлении  цитотоксичности сыворотки реципиента  по отношению к лимфоцитам донора результат считается положительным (цитотоксический индекс &gt;5%, т.е. 5 лимфоцитов из 100 - погибшие). Положительный тест свидетельствует о наличии предсуществующих специфических антител в крови реципиента к лимфоцитам донора. В этом случае трансплантация противопоказана.                                                    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Билет 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Что такое иммунная система?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Иммунная система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специализированная система органов и тканей, обеспечивающая иммунитет.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2. Иммуносупрессивная терапия при трансплантации органов и тканей.</w:t>
      </w:r>
    </w:p>
    <w:p>
      <w:pPr>
        <w:shd w:val="clear" w:color="auto" w:fill="FFFFFF"/>
        <w:spacing w:after="315" w:line="315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Иммуносупрессивная терапия проводится с целью сохранения пересаженного органа (ткани) и предотвращения его отторжения. Существуют различные протоколы ведения пациентов с аллотрансплантатом, однако в целом используются комбинированная трехкомпонентная терапия: азатиоприн, циклоспорин, преднизолон. Данная комбинация позволяет снизить дозу каждого из этих препаратов, уменьшить вероятность развития побочных эффектов от применения. Циклоспорин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блокирует активацию покоящихся Т-лимфоцитов, блокирует продукцию иммунокомпетентными клетками цитокинов.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побочным эффектам циклоспорина относятся: нарушение функции почек, гирсутизм, высокий риск лимфом. Применение азатиоприна,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подавляющего синтез нуклеиновых кислот и деление клеток,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может вызвать лейкопению и тромобоцитопению, в связи с чем необходимо проводить мониторинг общего анализа крови. Побочные эффекты преднизолона: синдром Иценко-Кушинга, стероидный диабет, гирсутизм, глаукома. К современным иммуносупрессивным препаратам относятся такролимус (ингибитор кальциневрина) и микофенолат мофетил (ингибитор синтеза пуриновых оснований), которые по эффективности не уступают циклоспорину, но менее токсичные.</w:t>
      </w:r>
    </w:p>
    <w:p>
      <w:pPr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купирования криза отторжения в комплексе с азатиоприном и преднизолоном используется а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ru-RU"/>
        </w:rPr>
        <w:t>нтилимфоцитарная сыворотка или антилимфоцитарный глобулин, антитимоцитарная сыворотка. Иммуносупрессивное действие сывороток обусловлено эффекторными свойствами антител, что приводит к цитотоксическому эффекту.</w:t>
      </w:r>
    </w:p>
    <w:p>
      <w:pPr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Иммуносупрессивные препараты назначаются как на этапе подготовки к операции, так и интраоперационно, и после трансплантации. Длительность терапии индивидуальна. При применении препаратов возможно появление симптомов вторичной индуцированной иммунной недостаточности, поэтому необходимо проводить мониторинг иммунного статуса пациента.</w:t>
      </w:r>
    </w:p>
    <w:p>
      <w:pPr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>
      <w:pPr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6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579"/>
        <w:gridCol w:w="7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У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       Мужчина, 43 года, страдает рецидивирующим фурункулёзом в течение 2-х лет. Направлен на консультацию иммунолога хирургом в период обострения. Неоднократно проводилось хирургическое лечение: вскрытие и санация фурункулов. Проводилось бактериологическое исследование с определением чувствительности микрофлоры к антибиотикам. При бактериологическом исследовании высевался золотистый стафилококк. С учетом полученных результатов назначалась антибиотикотерапия. 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При очередном обострении заболевания был проведен общий анализ крови с лейкоформулой, по результатам которого содержание лейкоцитов составило 13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 (при норме- 4,0-9,0х10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процентное содержание сегментоядерных нейтрофилов составило 80%, а абсолютное содержание сегментоядерных нейтрофилов – 10,4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 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Результаты теста фагоцитоза: фагоцитарный индекс (фагоцитарный показатель) – 50% (при норме 40-80%); фагоцитарное число – 6 частиц (при норме 4-9 частиц).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Содержание иммуноглобулинов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IgG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IgM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) сыворотки крови было в пределах нормы.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Пациенту было рекомендовано к антибиотикотерапии подключить иммуноглобулин человека антистафилококковый.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определяется в тесте фагоцитоза?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 фагоцитоза представляет собой метод оценки стадии поглощения. Производится подсчёт в окрашенных препаратах процента фагоцитов, содержащих фагоцитированный материал (фагоцитарный индекс),  и среднего количества частиц, захваченных одной клеткой (фагоцитарное число).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Укажите нормальные значения процентного и абсолютного содержания сегментоядерных нейтрофилов в периферической крови.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Процентное содержание: 47-72%. Абсолютное содержание: 2,0-5,5х10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Какие изменения в содержании лейкоцитов периферической крови характерны 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 характерно повышение содержания лейкоцитов в периферической крови (лейкоцитоз), увеличение абсолютного и относительного содержания нейтрофилов и сдвиг лейкоформулы влево.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Правомерным ли было назначение тестов, характеризующих состояние фагоцитарного звена?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Стафилококки фагоцитируются нейтрофилами. В диагностике правомерным было назначение тестов, характеризующих состояние фагоцитарного звена.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12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Охарактеризуйте состав и назначение иммуноглобулина человека антистафилококкового.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Иммуноглобулин человека антистафилококковый  содержит антитела к стафилококковому экзотоксину. Антитела относятся 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Препарат получают из плазмы или сыворотки доноров.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 данном случае его назначение было оправданным.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eastAsia="ru-RU"/>
        </w:rPr>
      </w:pPr>
    </w:p>
    <w:tbl>
      <w:tblPr>
        <w:tblStyle w:val="3"/>
        <w:tblW w:w="9405" w:type="dxa"/>
        <w:jc w:val="center"/>
        <w:tblInd w:w="-1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579"/>
        <w:gridCol w:w="7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У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       Мужчина, 43 года, страдает рецидивирующим фурункулёзом в течение 2-х лет. Направлен на консультацию иммунолога хирургом в период обострения. Неоднократно проводилось хирургическое лечение: вскрытие и санация фурункулов. Проводилось бактериологическое исследование с определением чувствительности микрофлоры к антибиотикам. При бактериологическом исследовании высевался золотистый стафилококк. С учетом полученных результатов назначалась антибиотикотерапия. 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При очередном обострении заболевания был проведен общий анализ крови с лейкоформулой, по результатам которого содержание лейкоцитов составило 13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 (при норме- 4,0-9,0х10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процентное содержание сегментоядерных нейтрофилов составило 80%, а абсолютное содержание сегментоядерных нейтрофилов – 10,4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 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Результаты теста фагоцитоза: фагоцитарный индекс (фагоцитарный показатель) – 50% (при норме 40-80%); фагоцитарное число – 6 частиц (при норме 4-9 частиц).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Содержание иммуноглобулинов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IgG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IgM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) сыворотки крови было в пределах нормы.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Пациенту было рекомендовано к антибиотикотерапии подключить иммуноглобулин человека антистафилококковый.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определяется в тесте фагоцитоза?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 фагоцитоза представляет собой метод оценки стадии поглощения. Производится подсчёт в окрашенных препаратах процента фагоцитов, содержащих фагоцитированный материал (фагоцитарный индекс),  и среднего количества частиц, захваченных одной клеткой (фагоцитарное число).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Укажите нормальные значения процентного и абсолютного содержания сегментоядерных нейтрофилов в периферической крови.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Процентное содержание: 47-72%. Абсолютное содержание: 2,0-5,5х10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Какие изменения в содержании лейкоцитов периферической крови характерны </w:t>
            </w: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 характерно повышение содержания лейкоцитов в периферической крови (лейкоцитоз), увеличение абсолютного и относительного содержания нейтрофилов и сдвиг лейкоформулы влево.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Правомерным ли было назначение тестов, характеризующих состояние фагоцитарного звена?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Стафилококки фагоцитируются нейтрофилами. В диагностике правомерным было назначение тестов, характеризующих состояние фагоцитарного звена.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12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Охарактеризуйте состав и назначение иммуноглобулина человека антистафилококкового.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pacing w:val="2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Иммуноглобулин человека антистафилококковый  содержит антитела к стафилококковому экзотоксину. Антитела относятся 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Препарат получают из плазмы или сыворотки доноров.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 данном случае его назначение было оправданным.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D"/>
    <w:rsid w:val="00382060"/>
    <w:rsid w:val="005C704D"/>
    <w:rsid w:val="006720A0"/>
    <w:rsid w:val="00AD4878"/>
    <w:rsid w:val="00B35A63"/>
    <w:rsid w:val="00E20509"/>
    <w:rsid w:val="00E546BA"/>
    <w:rsid w:val="00EC4030"/>
    <w:rsid w:val="297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2758</Words>
  <Characters>15726</Characters>
  <Lines>131</Lines>
  <Paragraphs>36</Paragraphs>
  <TotalTime>11</TotalTime>
  <ScaleCrop>false</ScaleCrop>
  <LinksUpToDate>false</LinksUpToDate>
  <CharactersWithSpaces>18448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2020-01-21T18:18:00Z</dcterms:created>
  <dc:creator>aliya.klyucharova@outlook.com</dc:creator>
  <cp:lastModifiedBy>гузель</cp:lastModifiedBy>
  <dcterms:modified xsi:type="dcterms:W3CDTF">2020-01-23T16:50:11Z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