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2" w:rsidRPr="00F56F43" w:rsidRDefault="00AB15E2" w:rsidP="00F56F43">
      <w:pPr>
        <w:jc w:val="center"/>
        <w:rPr>
          <w:rFonts w:ascii="Times New Roman" w:hAnsi="Times New Roman" w:cs="Times New Roman"/>
          <w:sz w:val="24"/>
          <w:szCs w:val="24"/>
        </w:rPr>
      </w:pPr>
      <w:r w:rsidRPr="00F56F43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AB15E2" w:rsidRPr="00F56F43" w:rsidRDefault="00AB15E2" w:rsidP="00F56F43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F43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Pr="00F56F43">
        <w:rPr>
          <w:rFonts w:ascii="Times New Roman" w:hAnsi="Times New Roman" w:cs="Times New Roman"/>
          <w:b/>
          <w:sz w:val="24"/>
          <w:szCs w:val="24"/>
        </w:rPr>
        <w:t xml:space="preserve">III Съезде неврологов и психиатров Средневолжского научно-образовательного медицинского кластера ПФО «Актуальные вопросы клинической </w:t>
      </w:r>
      <w:r w:rsidRPr="00F56F43">
        <w:rPr>
          <w:rFonts w:ascii="Times New Roman" w:hAnsi="Times New Roman" w:cs="Times New Roman"/>
          <w:b/>
          <w:bCs/>
          <w:sz w:val="24"/>
          <w:szCs w:val="24"/>
        </w:rPr>
        <w:t>неврологии и психиатрии».</w:t>
      </w:r>
    </w:p>
    <w:p w:rsidR="00AB15E2" w:rsidRPr="00F56F43" w:rsidRDefault="00AB15E2" w:rsidP="00F56F4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6F43">
        <w:rPr>
          <w:rFonts w:ascii="Times New Roman" w:hAnsi="Times New Roman" w:cs="Times New Roman"/>
          <w:b/>
          <w:bCs/>
          <w:sz w:val="24"/>
          <w:szCs w:val="24"/>
        </w:rPr>
        <w:t>Дата мероприятия</w:t>
      </w:r>
      <w:r w:rsidRPr="00F56F43">
        <w:rPr>
          <w:rFonts w:ascii="Times New Roman" w:hAnsi="Times New Roman" w:cs="Times New Roman"/>
          <w:bCs/>
          <w:sz w:val="24"/>
          <w:szCs w:val="24"/>
        </w:rPr>
        <w:t>:</w:t>
      </w:r>
      <w:r w:rsidRPr="00F56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F43">
        <w:rPr>
          <w:rFonts w:ascii="Times New Roman" w:hAnsi="Times New Roman" w:cs="Times New Roman"/>
          <w:bCs/>
          <w:sz w:val="24"/>
          <w:szCs w:val="24"/>
        </w:rPr>
        <w:t xml:space="preserve">28-29 ноября </w:t>
      </w:r>
      <w:r w:rsidRPr="00F56F43">
        <w:rPr>
          <w:rFonts w:ascii="Times New Roman" w:hAnsi="Times New Roman" w:cs="Times New Roman"/>
          <w:sz w:val="24"/>
          <w:szCs w:val="24"/>
        </w:rPr>
        <w:t>2019 года</w:t>
      </w:r>
    </w:p>
    <w:p w:rsidR="00AB15E2" w:rsidRPr="00F56F43" w:rsidRDefault="00AB15E2" w:rsidP="00F56F43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F43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F56F43">
        <w:rPr>
          <w:rFonts w:ascii="Times New Roman" w:hAnsi="Times New Roman" w:cs="Times New Roman"/>
          <w:sz w:val="24"/>
          <w:szCs w:val="24"/>
        </w:rPr>
        <w:t xml:space="preserve"> Нижний Новгород, пр-т Гагарина 27, ГК «ОКА»</w:t>
      </w:r>
    </w:p>
    <w:p w:rsidR="00AB15E2" w:rsidRPr="00F56F43" w:rsidRDefault="00AB15E2" w:rsidP="00F56F4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15E2" w:rsidRPr="00F56F43" w:rsidRDefault="00AB15E2" w:rsidP="00F56F4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6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рамках Съезда будет проводиться конкурс устных докладов молодых ученых</w:t>
      </w:r>
    </w:p>
    <w:p w:rsidR="00AB15E2" w:rsidRPr="00003BB7" w:rsidRDefault="00AB15E2" w:rsidP="00F56F4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56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66C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участию приглашаются аспиранты</w:t>
      </w:r>
      <w:r w:rsidR="00466CD5" w:rsidRPr="0046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66CD5" w:rsidRPr="00466C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ординаторы, студенты </w:t>
      </w:r>
      <w:r w:rsidR="00466CD5" w:rsidRPr="00466CD5">
        <w:rPr>
          <w:rFonts w:ascii="Times New Roman" w:hAnsi="Times New Roman" w:cs="Times New Roman"/>
          <w:sz w:val="24"/>
          <w:szCs w:val="24"/>
          <w:shd w:val="clear" w:color="auto" w:fill="FFFFFF"/>
        </w:rPr>
        <w:t>старших курсов</w:t>
      </w:r>
      <w:r w:rsidRPr="00466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6CD5" w:rsidRPr="00466CD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заинтересованные «молодые ученые» ПФО</w:t>
      </w:r>
      <w:r w:rsidRPr="00F56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Направить тезисы доклада необходимо до 28 сентября 2019 года по адресу </w:t>
      </w:r>
      <w:hyperlink r:id="rId7" w:history="1">
        <w:r w:rsidRPr="00F56F4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antipenkoea@gmail.com</w:t>
        </w:r>
      </w:hyperlink>
      <w:r w:rsidRPr="00F56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Альбертовна Антипенко и </w:t>
      </w:r>
      <w:hyperlink r:id="rId8" w:history="1">
        <w:r w:rsidRPr="00F56F43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thesis</w:t>
        </w:r>
        <w:r w:rsidRPr="00F56F4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Pr="00F56F43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nn</w:t>
        </w:r>
        <w:r w:rsidRPr="00F56F4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Pr="00F56F43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terra</w:t>
        </w:r>
        <w:r w:rsidRPr="00F56F43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Pr="00F56F43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F56F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(ставить в копию письма). </w:t>
      </w:r>
      <w:r w:rsidR="00003BB7" w:rsidRPr="00003BB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Победителям конкурса будет предоставлена возможность публикации статьи в журнале ВАК!</w:t>
      </w:r>
    </w:p>
    <w:p w:rsidR="00F56F43" w:rsidRPr="00F56F43" w:rsidRDefault="00F56F43" w:rsidP="00F56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F56F43">
        <w:rPr>
          <w:rFonts w:ascii="Times New Roman" w:eastAsia="Times New Roman" w:hAnsi="Times New Roman" w:cs="Times New Roman"/>
          <w:b/>
          <w:bCs/>
          <w:color w:val="252924"/>
          <w:sz w:val="24"/>
          <w:szCs w:val="24"/>
          <w:lang w:eastAsia="ru-RU"/>
        </w:rPr>
        <w:t xml:space="preserve">Требования к устному докладу </w:t>
      </w:r>
    </w:p>
    <w:p w:rsidR="00F56F43" w:rsidRPr="00F56F43" w:rsidRDefault="00F56F43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Доклад на конференции </w:t>
      </w:r>
      <w:proofErr w:type="gram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позволяет: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</w:t>
      </w:r>
      <w:proofErr w:type="gram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определить подготовленность конкурсанта к публичному обсуждению результатов проекта и аргументированной защите собственного мнения;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 оценить реальный вклад конкурсанта в достижение целей проекта;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 оценить владение специальной терминологией, знание проблемной области, в рамках которой осуществлялась работа над проектом.</w:t>
      </w:r>
    </w:p>
    <w:p w:rsidR="001A3076" w:rsidRDefault="00F56F43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При подготовке доклада к конференции необходимо придерживаться следующих </w:t>
      </w:r>
      <w:proofErr w:type="gram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требований: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</w:t>
      </w:r>
      <w:proofErr w:type="gram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Текст доклада включает: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- актуальность,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- цель, задачи исследования, 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- краткое описание объекта,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- краткую характеристику методов и методики исследования,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- обсуждение результатов,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- выводы по работе.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 Продолжительность выс</w:t>
      </w:r>
      <w:r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тупления с докладом – не более 5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минут.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</w:r>
    </w:p>
    <w:p w:rsidR="00F56F43" w:rsidRPr="00F56F43" w:rsidRDefault="00F56F43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lastRenderedPageBreak/>
        <w:t>• Доклад вместе с наглядностью (мультиме</w:t>
      </w:r>
      <w:r w:rsidR="001A3076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дийной презентацией</w:t>
      </w:r>
      <w:bookmarkStart w:id="0" w:name="_GoBack"/>
      <w:bookmarkEnd w:id="0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) оценивается конкурсной комиссией по определенным критериям</w:t>
      </w:r>
    </w:p>
    <w:p w:rsidR="00F56F43" w:rsidRPr="00F56F43" w:rsidRDefault="00F56F43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F56F43">
        <w:rPr>
          <w:rFonts w:ascii="Times New Roman" w:eastAsia="Times New Roman" w:hAnsi="Times New Roman" w:cs="Times New Roman"/>
          <w:b/>
          <w:bCs/>
          <w:color w:val="252924"/>
          <w:sz w:val="24"/>
          <w:szCs w:val="24"/>
          <w:lang w:eastAsia="ru-RU"/>
        </w:rPr>
        <w:t>Требования к оформлению презентационного материала</w:t>
      </w:r>
    </w:p>
    <w:p w:rsidR="00F56F43" w:rsidRPr="00F56F43" w:rsidRDefault="00F56F43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Мультимедийная презентация представляется на конкурс очными участниками и должна быть синхронизирована с устным докладом.</w:t>
      </w:r>
    </w:p>
    <w:p w:rsidR="00F56F43" w:rsidRDefault="00F56F43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• Мультимедийная презентация должна быть сделана в полном соответствии с докладом по структуре и </w:t>
      </w:r>
      <w:proofErr w:type="gram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содержанию.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</w:t>
      </w:r>
      <w:proofErr w:type="gram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Все слайды презентации должны быть выполнены в программе </w:t>
      </w:r>
      <w:proofErr w:type="spell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Microsoft</w:t>
      </w:r>
      <w:proofErr w:type="spell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  <w:proofErr w:type="spell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Power</w:t>
      </w:r>
      <w:proofErr w:type="spell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</w:t>
      </w:r>
      <w:proofErr w:type="spell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Point</w:t>
      </w:r>
      <w:proofErr w:type="spell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любой версии в едином с</w:t>
      </w:r>
      <w:r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тиле.</w:t>
      </w:r>
      <w:r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 Количество слайдов 12-15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шт. Слайды должны быть пронумерованы в правом нижнем углу. Содержимое слайда (рисунки, фотографии, текст) не должны закрывать номер слайда. 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 xml:space="preserve">• В презентации необходимо подобрать такое соотношение фон-цвет шрифта, которое не утомляет глаза и позволяет легко читать текст. Категорически не рекомендуется сочетание цветов фона и текста синий – красный. Все остальные сочетания могут использоваться, если текст хорошо различим на </w:t>
      </w:r>
      <w:proofErr w:type="gram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фоне.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</w:t>
      </w:r>
      <w:proofErr w:type="gram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Рекомендуется использовать размер шрифта не менее 18 пт.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 Следует избегать таблиц с большим количеством данных. 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 В этом случае необходимо выделить важные по смыслу числовые данные с их интерпретацией (напр., минимальное и максимальное значение). 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 xml:space="preserve">• Все эффекты анимации должны быть оправданы. Например, допускается поочередное </w:t>
      </w:r>
      <w:proofErr w:type="spell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выплывание</w:t>
      </w:r>
      <w:proofErr w:type="spell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на слайде по одному пункту задач и выводов. Однако при этом не следует использовать эффекты анимации и эффекты переходов слайдов, которые приводят к неоправданной потере </w:t>
      </w:r>
      <w:proofErr w:type="gram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времени.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</w:t>
      </w:r>
      <w:proofErr w:type="gram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 Не допускается использование «искривленных» текстов, теней и т.п. в стиле </w:t>
      </w:r>
      <w:proofErr w:type="spellStart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WortArt</w:t>
      </w:r>
      <w:proofErr w:type="spellEnd"/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.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 Элементы управления (если они есть) должны быть интуитивно понятными.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br/>
        <w:t>• Подписи к иллюстративному материалу должны способствовать правильному восприятию предложенного материала (не допускаются такие названия фотографий, как: «Мы в лаборатории», «Мы на реке»). Лучше использовать п</w:t>
      </w:r>
      <w:r w:rsidR="00346126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 xml:space="preserve">одписи «Точка отбора проб №1» </w:t>
      </w:r>
      <w:r w:rsidRPr="00F56F43"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  <w:t>и т.п.</w:t>
      </w:r>
    </w:p>
    <w:p w:rsidR="00003BB7" w:rsidRDefault="00003BB7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</w:p>
    <w:p w:rsidR="00003BB7" w:rsidRDefault="00003BB7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</w:p>
    <w:p w:rsidR="00003BB7" w:rsidRDefault="00003BB7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</w:p>
    <w:p w:rsidR="00003BB7" w:rsidRDefault="00003BB7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</w:p>
    <w:p w:rsidR="00003BB7" w:rsidRPr="00003BB7" w:rsidRDefault="00003BB7" w:rsidP="00003BB7">
      <w:pPr>
        <w:pStyle w:val="2"/>
        <w:shd w:val="clear" w:color="auto" w:fill="FFFFFF"/>
        <w:spacing w:before="150" w:beforeAutospacing="0" w:after="150" w:afterAutospacing="0"/>
        <w:jc w:val="center"/>
        <w:rPr>
          <w:b w:val="0"/>
          <w:bCs w:val="0"/>
          <w:color w:val="708C73"/>
          <w:sz w:val="24"/>
          <w:szCs w:val="24"/>
        </w:rPr>
      </w:pPr>
      <w:r w:rsidRPr="00003BB7">
        <w:rPr>
          <w:b w:val="0"/>
          <w:bCs w:val="0"/>
          <w:color w:val="708C73"/>
          <w:sz w:val="24"/>
          <w:szCs w:val="24"/>
        </w:rPr>
        <w:lastRenderedPageBreak/>
        <w:t xml:space="preserve">Требования к рукописям, </w:t>
      </w:r>
      <w:r w:rsidR="00071E01">
        <w:rPr>
          <w:b w:val="0"/>
          <w:bCs w:val="0"/>
          <w:color w:val="708C73"/>
          <w:sz w:val="24"/>
          <w:szCs w:val="24"/>
        </w:rPr>
        <w:t>статьям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a"/>
          <w:rFonts w:ascii="Times New Roman" w:hAnsi="Times New Roman" w:cs="Times New Roman"/>
          <w:color w:val="000000"/>
          <w:sz w:val="24"/>
          <w:szCs w:val="24"/>
        </w:rPr>
        <w:t>(В соответствии с требованиями “единых требований к рукописям, представляемым в биомедицинские журналы”, установленных редакцией международного комитета медицинских журналов)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Авторы, готовящие и представляющие свои статьи в наш журнал, должны следовать правилам, разработанным редакционной коллегией журнала на основе современных рекомендаций” единых требований к рукописям, представляемым в биомедицинские журналы", установленных Международным Комитетом редакторов медицинских журналов.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Редакционная коллегия будет требовать от авторов пристального соблюдения требований, в противном случае публикация отклоняется.</w:t>
      </w:r>
    </w:p>
    <w:p w:rsidR="00003BB7" w:rsidRPr="00003BB7" w:rsidRDefault="00071E01" w:rsidP="00071E01">
      <w:pPr>
        <w:shd w:val="clear" w:color="auto" w:fill="FFFFFF"/>
        <w:spacing w:after="1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9"/>
          <w:rFonts w:ascii="Times New Roman" w:hAnsi="Times New Roman" w:cs="Times New Roman"/>
          <w:color w:val="000000"/>
          <w:sz w:val="24"/>
          <w:szCs w:val="24"/>
        </w:rPr>
        <w:t>О</w:t>
      </w:r>
      <w:r w:rsidR="00003BB7"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сновные принципы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На последней странице должны быть подписи всех авторов.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Рукопись должна быть напечатана 14 шрифтами с двойным интервалом. Статьи представляются по электронной почте: </w:t>
      </w:r>
      <w:hyperlink r:id="rId9" w:history="1">
        <w:r w:rsidRPr="00003BB7">
          <w:rPr>
            <w:rStyle w:val="a3"/>
            <w:color w:val="668866"/>
          </w:rPr>
          <w:t>stm.journal@gmail.com</w:t>
        </w:r>
      </w:hyperlink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Титульный лист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должны включать: 1) Название статьи, которое должно быть информативным и кратким; 2) имена и инициалы авторов; 3) ученые степени авторов; 4) основные должности авторов и контактную информацию (номера телефонов и электронной почты); 5) полное наименование учреждения и отдела (отдела, лаборатории), где проводилось исследование; 6) имя, отчество и фамилия, контактная информация и почтовый адрес автора, ответственного за переписку о рукописи; 7) источники поддержки в виде грантов, оборудования, лекарственных препаратов или все эти; 8) уведомление о возможном конфликте интересов; 9) бегущая головка (сокращенное название), состоящая из 5-6 слов.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Аннотация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печатается на отдельном листе бумаги. Она должна представлять собой заголовки статьи: а) цель исследования; б) материалы и методы; в) результаты; г) заключение. Реферат должен состоять примерно из 150 слов - для неструктурированных рефератов и не менее 250 слов — для структурированных рефератов. Ключевые слова (от 3 до 10 слов) приводятся на одной странице; они помогут индексаторам в перекрестной индексации статьи. Аннотация должна подчеркивать новые и важные аспекты исследования или наблюдения.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Текст.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 xml:space="preserve">Текст оригинальной статьи не должен превышать 15 страниц, рецензии-15-18 страниц. Статьи с оригинальными исследователями большего объема принимаются в 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индивидуальном порядке, по решению редакции. Количество рисунков и таблиц должно соответствовать объему представленной информации, согласно принципу “необходимого и достаточного”. Данные, приведенные в таблицах, не должны дублировать информацию, уже приведенную на рисунках, и наоборот. Имейте в виду, что избыточность иллюстративного материала может привести к возвращению статьи автору на доработку и сокращение.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Статья должна быть тщательно рецензирована и проверена авторами. Материал должен быть четко представлен, избегать длительного введения и повторений. Информация должна представляться с использованием международной системы единиц измерения (Си). Если исследование проводилось с использованием приборов с индексами в других единицах измерения, то последние должны быть преобразованы в СИ, коэффициент преобразования или компьютерная программа для преобразования указаны в разделе “Материалы и методы”.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 xml:space="preserve">Избегайте сокращенных слов, кроме стандартных. При первом упоминании следует использовать прописанную аббревиатуру, за которой следует аббревиатура в скобках, </w:t>
      </w:r>
      <w:proofErr w:type="gramStart"/>
      <w:r w:rsidRPr="00003BB7">
        <w:rPr>
          <w:color w:val="000000"/>
        </w:rPr>
        <w:t>например</w:t>
      </w:r>
      <w:proofErr w:type="gramEnd"/>
      <w:r w:rsidRPr="00003BB7">
        <w:rPr>
          <w:color w:val="000000"/>
        </w:rPr>
        <w:t>: ишемическая болезнь сердца (ИБС). В сокращениях используются заглавные буквы.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 xml:space="preserve">Химические формулы и дозы подписываются автором на полях. Формулы предпочтительно разрабатываются в специализированной программе или с помощью редактора уравнений, такого </w:t>
      </w:r>
      <w:proofErr w:type="spellStart"/>
      <w:proofErr w:type="gramStart"/>
      <w:r w:rsidRPr="00003BB7">
        <w:rPr>
          <w:color w:val="000000"/>
        </w:rPr>
        <w:t>как”уравнение</w:t>
      </w:r>
      <w:proofErr w:type="spellEnd"/>
      <w:proofErr w:type="gramEnd"/>
      <w:r w:rsidRPr="00003BB7">
        <w:rPr>
          <w:color w:val="000000"/>
        </w:rPr>
        <w:t>".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Статьи с оригинальными исследованиями должны иметь следующие разделы: 1. "Цель исследования"; 2. "Материалы и методы"; 3. "Результаты"; 4. "Дискуссия"; 5. "</w:t>
      </w:r>
      <w:proofErr w:type="spellStart"/>
      <w:proofErr w:type="gramStart"/>
      <w:r w:rsidRPr="00003BB7">
        <w:rPr>
          <w:color w:val="000000"/>
        </w:rPr>
        <w:t>Заключение“</w:t>
      </w:r>
      <w:proofErr w:type="gramEnd"/>
      <w:r w:rsidRPr="00003BB7">
        <w:rPr>
          <w:color w:val="000000"/>
        </w:rPr>
        <w:t>;”Ссылки</w:t>
      </w:r>
      <w:proofErr w:type="spellEnd"/>
      <w:r w:rsidRPr="00003BB7">
        <w:rPr>
          <w:color w:val="000000"/>
        </w:rPr>
        <w:t>". 3-й и 4-й разделы можно объединить в одну часть: “результаты и обсуждение”.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Приведите контекст или фон для исследования с соответствующими ссылками на наиболее значимые публикации, и указывается необходимость проведения исследований.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Цель расследования.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Содержит 2-3 предложения. Укажите конкретную цель или цель исследования, или гипотезу, проверяемую исследованием.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Материалы и методы.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 xml:space="preserve">Раздел содержит подробное изложение методов и аппаратов исследования, используемых в исследовании. Определите критерии отбора животных и пациентов, количество и характеристику пациентов с учетом их пола и возраста, если это необходимо для проведения исследования. Принцип группировки пациентов, безусловно, определен, а также Дизайн дизайна исследования. Точно определите все используемые лекарственные средства и химические вещества, включая их родовое наименование, дозу и маршрут введения. Раздел должен содержать максимум информации, необходимой для дальнейшего возможного воспроизведения выводов других авторов, сравнения результатов аналогичных исследований и возможного включения данных статьи в </w:t>
      </w:r>
      <w:proofErr w:type="spellStart"/>
      <w:r w:rsidRPr="00003BB7">
        <w:rPr>
          <w:rFonts w:ascii="Times New Roman" w:hAnsi="Times New Roman" w:cs="Times New Roman"/>
          <w:color w:val="000000"/>
          <w:sz w:val="24"/>
          <w:szCs w:val="24"/>
        </w:rPr>
        <w:t>метаанализ</w:t>
      </w:r>
      <w:proofErr w:type="spellEnd"/>
      <w:r w:rsidRPr="00003BB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 xml:space="preserve">В конце раздела “материалы и методы” в подразделе “обработка данных” указывается способ оценки результатов исследований. Если исследование было </w:t>
      </w:r>
      <w:proofErr w:type="spellStart"/>
      <w:r w:rsidRPr="00003BB7">
        <w:rPr>
          <w:color w:val="000000"/>
        </w:rPr>
        <w:t>рандомизировано</w:t>
      </w:r>
      <w:proofErr w:type="spellEnd"/>
      <w:r w:rsidRPr="00003BB7">
        <w:rPr>
          <w:color w:val="000000"/>
        </w:rPr>
        <w:t xml:space="preserve">, то принцип рандомизации уточняется. Средние значения приведены в виде </w:t>
      </w:r>
      <w:proofErr w:type="spellStart"/>
      <w:r w:rsidRPr="00003BB7">
        <w:rPr>
          <w:color w:val="000000"/>
        </w:rPr>
        <w:t>М±m</w:t>
      </w:r>
      <w:proofErr w:type="spellEnd"/>
      <w:r w:rsidRPr="00003BB7">
        <w:rPr>
          <w:color w:val="000000"/>
        </w:rPr>
        <w:t xml:space="preserve"> (М – среднее арифметическое, m – Стандартная ошибка среднего). В тексте статьи и таблицах при указании достоверности данных задается значение p (р=..., </w:t>
      </w:r>
      <w:proofErr w:type="spellStart"/>
      <w:r w:rsidRPr="00003BB7">
        <w:rPr>
          <w:color w:val="000000"/>
        </w:rPr>
        <w:t>not</w:t>
      </w:r>
      <w:proofErr w:type="spellEnd"/>
      <w:r w:rsidRPr="00003BB7">
        <w:rPr>
          <w:color w:val="000000"/>
        </w:rPr>
        <w:t xml:space="preserve"> </w:t>
      </w:r>
      <w:proofErr w:type="gramStart"/>
      <w:r w:rsidRPr="00003BB7">
        <w:rPr>
          <w:color w:val="000000"/>
        </w:rPr>
        <w:t>р&lt;</w:t>
      </w:r>
      <w:proofErr w:type="gramEnd"/>
      <w:r w:rsidRPr="00003BB7">
        <w:rPr>
          <w:color w:val="000000"/>
        </w:rPr>
        <w:t xml:space="preserve">...). Приведены коэффициенты корреляции, определяющие их статистическую значимость, т. е. указывающие на значение Р, </w:t>
      </w:r>
      <w:proofErr w:type="gramStart"/>
      <w:r w:rsidRPr="00003BB7">
        <w:rPr>
          <w:color w:val="000000"/>
        </w:rPr>
        <w:t>например</w:t>
      </w:r>
      <w:proofErr w:type="gramEnd"/>
      <w:r w:rsidRPr="00003BB7">
        <w:rPr>
          <w:color w:val="000000"/>
        </w:rPr>
        <w:t>: r=0,435; р=0,006.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rStyle w:val="a9"/>
          <w:color w:val="000000"/>
        </w:rPr>
        <w:t>Результаты. </w:t>
      </w:r>
      <w:r w:rsidRPr="00003BB7">
        <w:rPr>
          <w:color w:val="000000"/>
        </w:rPr>
        <w:t xml:space="preserve">Когда данные суммируются в тексте статьи или в таблице, приведите числовые результаты не только как производные (например, проценты), но и как абсолютные числа, из которых производные были вычислены (дайте абсолютное значение, принятое для 100%, например, 25% из 120 пациентов). Другой вариант: укажите абсолютное число и процент одновременно, </w:t>
      </w:r>
      <w:proofErr w:type="gramStart"/>
      <w:r w:rsidRPr="00003BB7">
        <w:rPr>
          <w:color w:val="000000"/>
        </w:rPr>
        <w:t>например</w:t>
      </w:r>
      <w:proofErr w:type="gramEnd"/>
      <w:r w:rsidRPr="00003BB7">
        <w:rPr>
          <w:color w:val="000000"/>
        </w:rPr>
        <w:t>: 25% (30/120), или 30 из 120 пациентов (25%).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При последовательном пересчете процента, т. е. вычисляется процент процента (процент от числа объектов исследования в подгруппе, ранее описанной в процентах), необходимо четко описать процедуру и представить номера объектов исследования, взятых последовательно на 100%.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Требуемая точность процентного значения зависит от объема пробы:</w:t>
      </w:r>
    </w:p>
    <w:p w:rsidR="00003BB7" w:rsidRPr="00003BB7" w:rsidRDefault="00003BB7" w:rsidP="00003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так называемые малые выборки (менее 20 объектов исследования) обычно не приводятся в процентах (поскольку в таких случаях процентное значение оказывается значительно больше абсолютного значения частоты для конкретного значения характеристики). В этом случае задаются абсолютные значения частот для конкретного значения характеристики;</w:t>
      </w:r>
    </w:p>
    <w:p w:rsidR="00003BB7" w:rsidRPr="00003BB7" w:rsidRDefault="00003BB7" w:rsidP="00003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если объем выборки составляет от 20 до 100 объектов исследования, то проценты указываются в виде целых чисел;</w:t>
      </w:r>
    </w:p>
    <w:p w:rsidR="00003BB7" w:rsidRPr="00003BB7" w:rsidRDefault="00003BB7" w:rsidP="00003B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если объем выборки превышает 100 объектов, указанный процент имеет не более одного десятичного знака.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Обсуждение.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Подчеркните новые и важные аспекты исследования, изучите возможные механизмы или объяснения этих выводов и, если это возможно, сравните и сопоставьте результаты с результатами, полученными другими исследователями. Не повторяйте подробно данные или другую информацию, приведенную во введении или разделе результатов. Изучить последствия полученных результатов для будущих исследований и для клинической практики.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Вывод.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В качестве выводов представим результаты решения задачи, указанные в названии и цели статьи. Избегайте утверждения приоритета или ссылки на работу, которая не была завершена.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Иллюстрации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 xml:space="preserve">(Рисунки). Цифры должны быть четкими, а фотографии — четкими. В легендах для </w:t>
      </w:r>
      <w:proofErr w:type="spellStart"/>
      <w:r w:rsidRPr="00003BB7">
        <w:rPr>
          <w:rFonts w:ascii="Times New Roman" w:hAnsi="Times New Roman" w:cs="Times New Roman"/>
          <w:color w:val="000000"/>
          <w:sz w:val="24"/>
          <w:szCs w:val="24"/>
        </w:rPr>
        <w:t>фотомикрографов</w:t>
      </w:r>
      <w:proofErr w:type="spellEnd"/>
      <w:r w:rsidRPr="00003BB7">
        <w:rPr>
          <w:rFonts w:ascii="Times New Roman" w:hAnsi="Times New Roman" w:cs="Times New Roman"/>
          <w:color w:val="000000"/>
          <w:sz w:val="24"/>
          <w:szCs w:val="24"/>
        </w:rPr>
        <w:t xml:space="preserve"> указана скорость увеличения. Наберите или распечатайте легенды для иллюстраций на отдельной странице с указанием фамилии автора и названия статьи. Четко определите и объясните каждую кривую, букву, число и другие символы в легенде. В тексте статьи, слева, карандашом нарисуйте квадрат, указывающий, где должна быть размещена фигура. Внутри квадрата обозначен номер фигуры.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 xml:space="preserve">Каждый рисунок должен быть представлен в электронном файле в формате TIFF с разрешением не менее 300 </w:t>
      </w:r>
      <w:proofErr w:type="spellStart"/>
      <w:r w:rsidRPr="00003BB7">
        <w:rPr>
          <w:color w:val="000000"/>
        </w:rPr>
        <w:t>dpi</w:t>
      </w:r>
      <w:proofErr w:type="spellEnd"/>
      <w:r w:rsidRPr="00003BB7">
        <w:rPr>
          <w:color w:val="000000"/>
        </w:rPr>
        <w:t>. Диаграммы представляются в формате EXCEL или WORD.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Электронные файлы рисунков должны позволять получать высококачественные изображения в веб-версии журнала. Если рисунок был опубликован ранее, подтвердите исходный источник.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Лица на фотографиях не должны быть узнаваемыми; в противном случае автор должен представить письменное разрешение на использование фотографий.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Таблицы.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Таблицы собирают информацию лаконично и эффективно отображают ее. Таблицы должны быть пронумерованы последовательно. Укажите краткое название для каждой таблицы. Заголовки должны быть в соответствии с содержанием столбцов. Авторы должны помещать пояснительные замечания в сноски. Поясните все сокращения в сносках. Определите статистические показатели вариаций, такие как стандартное отклонение и стандартная ошибка среднего.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Ссылки на литературу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Ссылки должны быть пронумерованы последовательно в том порядке, в котором они впервые упоминаются в тексте, а не в алфавитном порядке. Обозначьте ссылки в тексте арабскими цифрами в круглых скобках.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Библиографическая информация должна быть актуальной, авторитетной и всеобъемлющей. Ссылки должны ссылаться только на первоисточники. Избегайте цитирования (как это часто бывает) одного обзора, в котором были упомянуты ссылки.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 xml:space="preserve">Список литературы разработан в соответствии с требованиями </w:t>
      </w:r>
      <w:proofErr w:type="spellStart"/>
      <w:r w:rsidRPr="00003BB7">
        <w:rPr>
          <w:color w:val="000000"/>
        </w:rPr>
        <w:t>Ванкуверского</w:t>
      </w:r>
      <w:proofErr w:type="spellEnd"/>
      <w:r w:rsidRPr="00003BB7">
        <w:rPr>
          <w:color w:val="000000"/>
        </w:rPr>
        <w:t xml:space="preserve"> стиля.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 xml:space="preserve">Названия журналов должны быть сокращены в соответствии со стилем, используемым в MEDLINE </w:t>
      </w:r>
      <w:proofErr w:type="gramStart"/>
      <w:r w:rsidRPr="00003BB7">
        <w:rPr>
          <w:color w:val="000000"/>
        </w:rPr>
        <w:t>( </w:t>
      </w:r>
      <w:hyperlink r:id="rId10" w:history="1">
        <w:r w:rsidRPr="00003BB7">
          <w:rPr>
            <w:rStyle w:val="a3"/>
            <w:color w:val="668866"/>
          </w:rPr>
          <w:t>https://www.ncbi.nlm.nih.gov/nlmcatalog/journals</w:t>
        </w:r>
        <w:proofErr w:type="gramEnd"/>
        <w:r w:rsidRPr="00003BB7">
          <w:rPr>
            <w:rStyle w:val="a3"/>
            <w:color w:val="668866"/>
          </w:rPr>
          <w:t> </w:t>
        </w:r>
      </w:hyperlink>
      <w:r w:rsidRPr="00003BB7">
        <w:rPr>
          <w:color w:val="000000"/>
        </w:rPr>
        <w:t>) .</w:t>
      </w:r>
    </w:p>
    <w:p w:rsidR="00071E01" w:rsidRDefault="00071E01" w:rsidP="00003BB7">
      <w:pPr>
        <w:shd w:val="clear" w:color="auto" w:fill="FFFFFF"/>
        <w:spacing w:after="150"/>
        <w:jc w:val="both"/>
        <w:rPr>
          <w:rStyle w:val="a9"/>
          <w:rFonts w:ascii="Times New Roman" w:hAnsi="Times New Roman" w:cs="Times New Roman"/>
          <w:color w:val="000000"/>
          <w:sz w:val="24"/>
          <w:szCs w:val="24"/>
        </w:rPr>
      </w:pP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Ссылки Стиль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a"/>
          <w:rFonts w:ascii="Times New Roman" w:hAnsi="Times New Roman" w:cs="Times New Roman"/>
          <w:color w:val="000000"/>
          <w:sz w:val="24"/>
          <w:szCs w:val="24"/>
        </w:rPr>
        <w:t>Статьи в журналах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 xml:space="preserve">Сироткина М. А., </w:t>
      </w:r>
      <w:proofErr w:type="spellStart"/>
      <w:r w:rsidRPr="00003BB7">
        <w:rPr>
          <w:color w:val="000000"/>
        </w:rPr>
        <w:t>Буянова</w:t>
      </w:r>
      <w:proofErr w:type="spellEnd"/>
      <w:r w:rsidRPr="00003BB7">
        <w:rPr>
          <w:color w:val="000000"/>
        </w:rPr>
        <w:t xml:space="preserve"> Н.Л., </w:t>
      </w:r>
      <w:proofErr w:type="spellStart"/>
      <w:r w:rsidRPr="00003BB7">
        <w:rPr>
          <w:color w:val="000000"/>
        </w:rPr>
        <w:t>Калганова</w:t>
      </w:r>
      <w:proofErr w:type="spellEnd"/>
      <w:r w:rsidRPr="00003BB7">
        <w:rPr>
          <w:color w:val="000000"/>
        </w:rPr>
        <w:t xml:space="preserve"> Т. И., </w:t>
      </w:r>
      <w:proofErr w:type="spellStart"/>
      <w:r w:rsidRPr="00003BB7">
        <w:rPr>
          <w:color w:val="000000"/>
        </w:rPr>
        <w:t>Карабут</w:t>
      </w:r>
      <w:proofErr w:type="spellEnd"/>
      <w:r w:rsidRPr="00003BB7">
        <w:rPr>
          <w:color w:val="000000"/>
        </w:rPr>
        <w:t xml:space="preserve"> М. М., Елагин В. В., Кузнецов С. С., </w:t>
      </w:r>
      <w:proofErr w:type="spellStart"/>
      <w:r w:rsidRPr="00003BB7">
        <w:rPr>
          <w:color w:val="000000"/>
        </w:rPr>
        <w:t>Снопова</w:t>
      </w:r>
      <w:proofErr w:type="spellEnd"/>
      <w:r w:rsidRPr="00003BB7">
        <w:rPr>
          <w:color w:val="000000"/>
        </w:rPr>
        <w:t xml:space="preserve"> Л. Б., Геликонов Г. В., Зайцев В. Ю., Матвеев Л. А. Загайнова Е. В., Виткин А. А., Гладкова Н.Д. разработка методики мониторинга экспериментальных опухолей с использованием </w:t>
      </w:r>
      <w:proofErr w:type="spellStart"/>
      <w:r w:rsidRPr="00003BB7">
        <w:rPr>
          <w:color w:val="000000"/>
        </w:rPr>
        <w:t>мультимодальной</w:t>
      </w:r>
      <w:proofErr w:type="spellEnd"/>
      <w:r w:rsidRPr="00003BB7">
        <w:rPr>
          <w:color w:val="000000"/>
        </w:rPr>
        <w:t xml:space="preserve"> оптической когерентной томографии: выбор оптимальной модели опухоли. Современные технологии в медицине 2015; 7(2): 6-15, </w:t>
      </w:r>
      <w:hyperlink r:id="rId11" w:history="1">
        <w:r w:rsidRPr="00003BB7">
          <w:rPr>
            <w:rStyle w:val="a3"/>
            <w:color w:val="668866"/>
          </w:rPr>
          <w:t>https://doi.org/10.17691/stm2015.7.2.01 -</w:t>
        </w:r>
        <w:proofErr w:type="gramStart"/>
        <w:r w:rsidRPr="00003BB7">
          <w:rPr>
            <w:rStyle w:val="a3"/>
            <w:color w:val="668866"/>
          </w:rPr>
          <w:t>да </w:t>
        </w:r>
      </w:hyperlink>
      <w:r w:rsidRPr="00003BB7">
        <w:rPr>
          <w:color w:val="000000"/>
        </w:rPr>
        <w:t>.</w:t>
      </w:r>
      <w:proofErr w:type="gramEnd"/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a"/>
          <w:rFonts w:ascii="Times New Roman" w:hAnsi="Times New Roman" w:cs="Times New Roman"/>
          <w:color w:val="000000"/>
          <w:sz w:val="24"/>
          <w:szCs w:val="24"/>
        </w:rPr>
        <w:t>Диссертация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 xml:space="preserve">Каплан С. Ю. </w:t>
      </w:r>
      <w:proofErr w:type="spellStart"/>
      <w:r w:rsidRPr="00003BB7">
        <w:rPr>
          <w:color w:val="000000"/>
        </w:rPr>
        <w:t>Постбольничное</w:t>
      </w:r>
      <w:proofErr w:type="spellEnd"/>
      <w:r w:rsidRPr="00003BB7">
        <w:rPr>
          <w:color w:val="000000"/>
        </w:rPr>
        <w:t xml:space="preserve"> домашнее здравоохранение: доступ и использование пожилых людей [диссертация]. Сент-Луис (МО): Вашингтон </w:t>
      </w:r>
      <w:proofErr w:type="spellStart"/>
      <w:r w:rsidRPr="00003BB7">
        <w:rPr>
          <w:color w:val="000000"/>
        </w:rPr>
        <w:t>Univ</w:t>
      </w:r>
      <w:proofErr w:type="spellEnd"/>
      <w:r w:rsidRPr="00003BB7">
        <w:rPr>
          <w:color w:val="000000"/>
        </w:rPr>
        <w:t>.; 1995.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rStyle w:val="aa"/>
          <w:color w:val="000000"/>
        </w:rPr>
        <w:t>Патент, авторское свидетельство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spellStart"/>
      <w:r w:rsidRPr="00003BB7">
        <w:rPr>
          <w:color w:val="000000"/>
        </w:rPr>
        <w:t>Larsen</w:t>
      </w:r>
      <w:proofErr w:type="spellEnd"/>
      <w:r w:rsidRPr="00003BB7">
        <w:rPr>
          <w:color w:val="000000"/>
        </w:rPr>
        <w:t xml:space="preserve"> C. E., </w:t>
      </w:r>
      <w:proofErr w:type="spellStart"/>
      <w:r w:rsidRPr="00003BB7">
        <w:rPr>
          <w:color w:val="000000"/>
        </w:rPr>
        <w:t>Trip</w:t>
      </w:r>
      <w:proofErr w:type="spellEnd"/>
      <w:r w:rsidRPr="00003BB7">
        <w:rPr>
          <w:color w:val="000000"/>
        </w:rPr>
        <w:t xml:space="preserve"> R., </w:t>
      </w:r>
      <w:proofErr w:type="spellStart"/>
      <w:r w:rsidRPr="00003BB7">
        <w:rPr>
          <w:color w:val="000000"/>
        </w:rPr>
        <w:t>inventors</w:t>
      </w:r>
      <w:proofErr w:type="spellEnd"/>
      <w:r w:rsidRPr="00003BB7">
        <w:rPr>
          <w:color w:val="000000"/>
        </w:rPr>
        <w:t xml:space="preserve">; </w:t>
      </w:r>
      <w:proofErr w:type="spellStart"/>
      <w:r w:rsidRPr="00003BB7">
        <w:rPr>
          <w:color w:val="000000"/>
        </w:rPr>
        <w:t>No-voste</w:t>
      </w:r>
      <w:proofErr w:type="spellEnd"/>
      <w:r w:rsidRPr="00003BB7">
        <w:rPr>
          <w:color w:val="000000"/>
        </w:rPr>
        <w:t xml:space="preserve"> </w:t>
      </w:r>
      <w:proofErr w:type="spellStart"/>
      <w:r w:rsidRPr="00003BB7">
        <w:rPr>
          <w:color w:val="000000"/>
        </w:rPr>
        <w:t>Corparation</w:t>
      </w:r>
      <w:proofErr w:type="spellEnd"/>
      <w:r w:rsidRPr="00003BB7">
        <w:rPr>
          <w:color w:val="000000"/>
        </w:rPr>
        <w:t xml:space="preserve">, </w:t>
      </w:r>
      <w:proofErr w:type="spellStart"/>
      <w:r w:rsidRPr="00003BB7">
        <w:rPr>
          <w:color w:val="000000"/>
        </w:rPr>
        <w:t>assigne</w:t>
      </w:r>
      <w:proofErr w:type="spellEnd"/>
      <w:r w:rsidRPr="00003BB7">
        <w:rPr>
          <w:color w:val="000000"/>
        </w:rPr>
        <w:t>. Методы проведения процедур, связанных с электрофизиологией сердца. Патент США 5 529 067. 1995.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этическое соображение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i/>
          <w:iCs/>
          <w:color w:val="000000"/>
          <w:sz w:val="24"/>
          <w:szCs w:val="24"/>
        </w:rPr>
        <w:t>Авторство.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Все лица, предназначенные в качестве “авторов”, должны соответствовать критериям концепции. Каждый автор должен был принять достаточно активное участие в работе, чтобы взять на себя ответственность за ее содержание. Авторство кредита должно основываться на следующих фактах: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1) существенный вклад в концепцию и проектирование, сбор данных или анализ и интерпретацию данных;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2) составление проекта статьи или рецензирование и внесение в него принципиальных изменений;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3) окончательное утверждение версии, подлежащей опубликованию.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Получение финансирования или сбор данных, а также общее руководство исследовательской группой сами по себе не являются авторством.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Редакторы имеют право запрашивать и публиковать информацию о вкладе каждого лица в написание статьи.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Все авторы, которые не соответствуют критериям авторства, должны быть перечислены в разделе </w:t>
      </w:r>
      <w:r w:rsidRPr="00003BB7">
        <w:rPr>
          <w:rStyle w:val="a9"/>
          <w:rFonts w:ascii="Times New Roman" w:hAnsi="Times New Roman" w:cs="Times New Roman"/>
          <w:i/>
          <w:iCs/>
          <w:color w:val="000000"/>
          <w:sz w:val="24"/>
          <w:szCs w:val="24"/>
        </w:rPr>
        <w:t>“благодарности</w:t>
      </w:r>
      <w:proofErr w:type="gramStart"/>
      <w:r w:rsidRPr="00003BB7">
        <w:rPr>
          <w:rStyle w:val="a9"/>
          <w:rFonts w:ascii="Times New Roman" w:hAnsi="Times New Roman" w:cs="Times New Roman"/>
          <w:i/>
          <w:iCs/>
          <w:color w:val="000000"/>
          <w:sz w:val="24"/>
          <w:szCs w:val="24"/>
        </w:rPr>
        <w:t>” </w:t>
      </w: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Группа авторов / соавторов должна совместно принять решение о порядке, в котором будут даны их имена.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rStyle w:val="aa"/>
          <w:b/>
          <w:bCs/>
          <w:color w:val="000000"/>
        </w:rPr>
        <w:t>Авторские права. </w:t>
      </w:r>
      <w:r w:rsidRPr="00003BB7">
        <w:rPr>
          <w:color w:val="000000"/>
        </w:rPr>
        <w:t>Направляя рукопись в журнал, авторы подтверждают, что представленный материал является оригинальным, ранее не публиковавшимся. Авторы передают свои авторские права на статью в журнал, и все изменения, внесенные в рукопись, согласовываются с авторами. Авторы сохраняют свои интеллектуальные авторские права. Передавая авторские права, авторы соглашаются публиковать свои статьи в открытом доступе, а также в базах данных и других информационных источниках, в которые входит журнал.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Авторы имеют право переиздавать материал только по согласованию с редакцией. Авторы имеют право повторно использовать рисунки, таблицы и избранный текст до 250 слов из своих статей, опубликованных в окончательном виде, с обязательной ссылкой на журнал, без уведомления редакции.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rStyle w:val="a9"/>
          <w:i/>
          <w:iCs/>
          <w:color w:val="000000"/>
        </w:rPr>
        <w:t>лицензионное соглашение</w:t>
      </w:r>
      <w:proofErr w:type="gramStart"/>
      <w:r w:rsidRPr="00003BB7">
        <w:rPr>
          <w:rStyle w:val="a9"/>
          <w:i/>
          <w:iCs/>
          <w:color w:val="000000"/>
        </w:rPr>
        <w:t>.</w:t>
      </w:r>
      <w:r w:rsidRPr="00003BB7">
        <w:rPr>
          <w:color w:val="000000"/>
        </w:rPr>
        <w:t> ”</w:t>
      </w:r>
      <w:proofErr w:type="gramEnd"/>
      <w:r w:rsidRPr="00003BB7">
        <w:rPr>
          <w:color w:val="000000"/>
        </w:rPr>
        <w:t> Современные технологии в медицине " - это журнал открытого доступа. Все опубликованные материалы находятся в свободном доступе в некоммерческих целях. Пользователям разрешается читать, скачивать, копировать, распространять или ссылаться на полные тексты статей, а также использовать их в любых других законных целях, ссылаясь на источник. Это соответствует определению открытого доступа БОАИ (Будапештская инициатива открытого доступа).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i/>
          <w:iCs/>
          <w:color w:val="000000"/>
          <w:sz w:val="24"/>
          <w:szCs w:val="24"/>
        </w:rPr>
        <w:t>столкновение интересов.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Конфликт интересов в отношении конкретной рукописи возникает тогда, когда один из участников процесса рецензирования или публикации — автор, рецензент или редактор — имеет обязательства, которые могут повлиять на его действия (даже если это не так). Финансовые отношения (например, занятость, консультационные услуги, владение акциями, гонорары и платные экспертные свидетельства) являются наиболее легко идентифицируемыми конфликтами интересов. Однако конфликты могут возникать и по другим причинам, таким как личные отношения, академическая конкуренция и интеллектуальная страсть.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Все участники процесса рецензирования и публикации должны раскрывать информацию обо всех конфликтах интересов.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Когда авторы представляют рукопись, они несут ответственность за раскрытие всех финансовых и других отношений, которые могут повлиять на их работу. Авторам следует идентифицировать всех физических лиц и учреждения, которые оказывали финансовую помощь, а также иную финансовую и личную поддержку. Авторы должны описать роль спонсора (спонсоров) исследования в разработке проекта исследования; сборе, анализе и интерпретации данных.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a"/>
          <w:rFonts w:ascii="Times New Roman" w:hAnsi="Times New Roman" w:cs="Times New Roman"/>
          <w:color w:val="000000"/>
          <w:sz w:val="24"/>
          <w:szCs w:val="24"/>
        </w:rPr>
        <w:t>Авторы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должны предоставить редакторам имена лиц, которых, по их мнению, не следует просить рецензировать рукопись из-за потенциального, обычно профессионального, конфликта интересов.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a"/>
          <w:rFonts w:ascii="Times New Roman" w:hAnsi="Times New Roman" w:cs="Times New Roman"/>
          <w:color w:val="000000"/>
          <w:sz w:val="24"/>
          <w:szCs w:val="24"/>
        </w:rPr>
        <w:t>Рецензенты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должны раскрывать редакторам любые конфликты интересов, которые могут повлиять на их мнение о рукописи; они должны отказаться от рассмотрения конкретных рукописей, если существует потенциал для предвзятости. В свою очередь, редакция журнала должна иметь возможность судить об объективности рецензии и принимать решение об отказе от услуг рецензента.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Редакция вправе использовать информацию, раскрытую в отчете о конфликте интересов и финансовой отчетности, в качестве основы для принятия редакционных решений.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a"/>
          <w:rFonts w:ascii="Times New Roman" w:hAnsi="Times New Roman" w:cs="Times New Roman"/>
          <w:color w:val="000000"/>
          <w:sz w:val="24"/>
          <w:szCs w:val="24"/>
        </w:rPr>
        <w:t>Редакторы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, принимающие окончательные решения по рукописям, не должны иметь личной, профессиональной или финансовой заинтересованности/участия ни в одном из вопросов, которые они могут судить. Другие члены редколлегии, если они участвуют в принятии редакционных решений, должны предоставить редакторам текущее описание своих финансовых интересов (поскольку они могут иметь отношение к редакционному решению) и отказаться от любых решений, в которых существует конфликт интересов.</w:t>
      </w:r>
    </w:p>
    <w:p w:rsidR="00003BB7" w:rsidRPr="00003BB7" w:rsidRDefault="00003BB7" w:rsidP="00003BB7">
      <w:pPr>
        <w:pStyle w:val="a8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003BB7">
        <w:rPr>
          <w:color w:val="000000"/>
        </w:rPr>
        <w:t>При рассмотрении </w:t>
      </w:r>
      <w:r w:rsidRPr="00003BB7">
        <w:rPr>
          <w:rStyle w:val="aa"/>
          <w:color w:val="000000"/>
        </w:rPr>
        <w:t xml:space="preserve">дел, требующих </w:t>
      </w:r>
      <w:proofErr w:type="gramStart"/>
      <w:r w:rsidRPr="00003BB7">
        <w:rPr>
          <w:rStyle w:val="aa"/>
          <w:color w:val="000000"/>
        </w:rPr>
        <w:t>исправления ,</w:t>
      </w:r>
      <w:proofErr w:type="gramEnd"/>
      <w:r w:rsidRPr="00003BB7">
        <w:rPr>
          <w:rStyle w:val="aa"/>
          <w:color w:val="000000"/>
        </w:rPr>
        <w:t xml:space="preserve"> опровержения и редакционного выражения озабоченности</w:t>
      </w:r>
      <w:r w:rsidRPr="00003BB7">
        <w:rPr>
          <w:color w:val="000000"/>
        </w:rPr>
        <w:t>, редакция руководствуется Законом Российской Федерации от 27 декабря 1991 года № 2124-1 (в ред. от 6 июня 2019 года) </w:t>
      </w:r>
      <w:r w:rsidRPr="00003BB7">
        <w:rPr>
          <w:rStyle w:val="a9"/>
          <w:i/>
          <w:iCs/>
          <w:color w:val="000000"/>
        </w:rPr>
        <w:t>“О средствах массовой информации” </w:t>
      </w:r>
      <w:r w:rsidRPr="00003BB7">
        <w:rPr>
          <w:color w:val="000000"/>
        </w:rPr>
        <w:t>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Информированное </w:t>
      </w:r>
      <w:proofErr w:type="gramStart"/>
      <w:r w:rsidRPr="00003BB7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t>Согласие .</w:t>
      </w:r>
      <w:proofErr w:type="gramEnd"/>
      <w:r w:rsidRPr="00003BB7">
        <w:rPr>
          <w:rStyle w:val="aa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Пациенты имеют право на неприкосновенность частной жизни, которое не должно нарушаться без информированного согласия. Идентифицирующая информация, включая имена, инициалы, номера больниц и истории болезни, не должна публиковаться в письменных описаниях, фотографиях и родословных, за исключением случаев, когда эта информация имеет важное значение для научных целей и пациент (или родитель или опекун) дает письменное информированное согласие на публикацию. Авторы должны сообщать этим пациентам, могут ли какие-либо потенциальные идентифицируемые материалы быть доступны через Интернет, а также в печатном виде после публикации. Авторы должны представить в журнал письменное информированное согласие пациента, и это должно быть указано в опубликованной статье.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i/>
          <w:iCs/>
          <w:color w:val="000000"/>
          <w:sz w:val="24"/>
          <w:szCs w:val="24"/>
        </w:rPr>
        <w:t>Защита объектов исследования человека и животных.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 При представлении докладов об экспериментах на людях авторам следует указывать, соответствуют ли применяемые процедуры этическим нормам ответственного комитета по экспериментам на людях (институциональным и национальным) и Хельсинской декларации 1975 года, пересмотренной в 2013 году. При наличии сомнений в том, что исследование проводилось в соответствии с Хельсинкской декларацией, авторы должны разъяснить обоснование своего подхода и продемонстрировать, что орган институционального обзора прямо одобрил сомнительные аспекты исследования. Сообщая об экспериментах на животных, авторы должны указать, проводилось ли исследование в соответствии с Европейской конвенцией по защите позвоночных животных, используемых в экспериментальных и других научных целях, а также институциональным и национальным руководством по уходу и использованию лабораторных животных.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color w:val="000000"/>
          <w:sz w:val="24"/>
          <w:szCs w:val="24"/>
        </w:rPr>
        <w:t>Публикация отрицательных результатов исследования.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Многие исследования с отрицательными результатами на самом деле являются нерешительными. Возможность публикации неопределенных результатов специально рассматривается редакцией, так как такие статьи зачастую не имеют биомедицинской ценности и требуют ресурсов журнала.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i/>
          <w:iCs/>
          <w:color w:val="000000"/>
          <w:sz w:val="24"/>
          <w:szCs w:val="24"/>
        </w:rPr>
        <w:t>Избыточные Публикации.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 xml:space="preserve">Редакция не будет рассматривать рукописи, которые одновременно рассматриваются другими журналами, а также статьи о работе, которая уже была опубликована в значительной части в опубликованной статье или содержится в другой статье, которая была представлена или принята к публикации в другом месте, в печатном или электронном виде. Настоящая политика не запрещает журналу рассматривать статью, которая была отклонена другим журналом, или полный отчет, который следует за публикацией предварительного отчета, </w:t>
      </w:r>
      <w:proofErr w:type="gramStart"/>
      <w:r w:rsidRPr="00003BB7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003BB7">
        <w:rPr>
          <w:rFonts w:ascii="Times New Roman" w:hAnsi="Times New Roman" w:cs="Times New Roman"/>
          <w:color w:val="000000"/>
          <w:sz w:val="24"/>
          <w:szCs w:val="24"/>
        </w:rPr>
        <w:t xml:space="preserve"> реферат или плакат, отображаемый на профессиональном собрании.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Style w:val="a9"/>
          <w:rFonts w:ascii="Times New Roman" w:hAnsi="Times New Roman" w:cs="Times New Roman"/>
          <w:i/>
          <w:iCs/>
          <w:color w:val="000000"/>
          <w:sz w:val="24"/>
          <w:szCs w:val="24"/>
        </w:rPr>
        <w:t>Переписка. </w:t>
      </w:r>
      <w:r w:rsidRPr="00003BB7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читатели могут прислать свои комментарии, вопросы и замечания по опубликованным статьям, а также их комментарии будут опубликованы. Соответствующие авторы могут отвечать на замечания, если они того пожелают.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* * *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Статьи, ранее опубликованные или представленные в другой журнал, не принимаются. Редакция оставляет за собой право сокращать и пересматривать представленные статьи.</w:t>
      </w:r>
    </w:p>
    <w:p w:rsidR="00003BB7" w:rsidRPr="00003BB7" w:rsidRDefault="00003BB7" w:rsidP="00003BB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3BB7">
        <w:rPr>
          <w:rFonts w:ascii="Times New Roman" w:hAnsi="Times New Roman" w:cs="Times New Roman"/>
          <w:color w:val="000000"/>
          <w:sz w:val="24"/>
          <w:szCs w:val="24"/>
        </w:rPr>
        <w:t>Статьи, написанные и оформленные не в соответствии с настоящими требованиями, рассматриваться не будут. Отклоненные рукописи авторам не возвращаются.</w:t>
      </w:r>
    </w:p>
    <w:p w:rsidR="00003BB7" w:rsidRPr="00F56F43" w:rsidRDefault="00003BB7" w:rsidP="00F56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924"/>
          <w:sz w:val="24"/>
          <w:szCs w:val="24"/>
          <w:lang w:eastAsia="ru-RU"/>
        </w:rPr>
      </w:pPr>
    </w:p>
    <w:p w:rsidR="00F56F43" w:rsidRDefault="00F56F43" w:rsidP="00AB15E2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5237" w:rsidRDefault="004F5237"/>
    <w:sectPr w:rsidR="004F5237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5E2" w:rsidRDefault="00AB15E2" w:rsidP="00AB15E2">
      <w:pPr>
        <w:spacing w:after="0" w:line="240" w:lineRule="auto"/>
      </w:pPr>
      <w:r>
        <w:separator/>
      </w:r>
    </w:p>
  </w:endnote>
  <w:endnote w:type="continuationSeparator" w:id="0">
    <w:p w:rsidR="00AB15E2" w:rsidRDefault="00AB15E2" w:rsidP="00AB1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541568"/>
      <w:docPartObj>
        <w:docPartGallery w:val="Page Numbers (Bottom of Page)"/>
        <w:docPartUnique/>
      </w:docPartObj>
    </w:sdtPr>
    <w:sdtEndPr/>
    <w:sdtContent>
      <w:p w:rsidR="002566A3" w:rsidRDefault="002566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076">
          <w:rPr>
            <w:noProof/>
          </w:rPr>
          <w:t>3</w:t>
        </w:r>
        <w:r>
          <w:fldChar w:fldCharType="end"/>
        </w:r>
      </w:p>
    </w:sdtContent>
  </w:sdt>
  <w:p w:rsidR="002566A3" w:rsidRDefault="002566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5E2" w:rsidRDefault="00AB15E2" w:rsidP="00AB15E2">
      <w:pPr>
        <w:spacing w:after="0" w:line="240" w:lineRule="auto"/>
      </w:pPr>
      <w:r>
        <w:separator/>
      </w:r>
    </w:p>
  </w:footnote>
  <w:footnote w:type="continuationSeparator" w:id="0">
    <w:p w:rsidR="00AB15E2" w:rsidRDefault="00AB15E2" w:rsidP="00AB1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5E2" w:rsidRPr="00BD5575" w:rsidRDefault="00AB15E2" w:rsidP="00AB15E2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BD5575">
      <w:rPr>
        <w:rFonts w:ascii="Arial" w:hAnsi="Arial" w:cs="Arial"/>
        <w:b/>
        <w:noProof/>
        <w:color w:val="C00000"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50C01BDB" wp14:editId="74F96FD4">
          <wp:simplePos x="0" y="0"/>
          <wp:positionH relativeFrom="column">
            <wp:posOffset>-737235</wp:posOffset>
          </wp:positionH>
          <wp:positionV relativeFrom="paragraph">
            <wp:posOffset>-251460</wp:posOffset>
          </wp:positionV>
          <wp:extent cx="580111" cy="525780"/>
          <wp:effectExtent l="0" t="0" r="0" b="7620"/>
          <wp:wrapNone/>
          <wp:docPr id="6" name="Рисунок 6" descr="C:\Users\user3\Desktop\ПИМ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3\Desktop\ПИМ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936" cy="529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75">
      <w:rPr>
        <w:rFonts w:ascii="Arial" w:hAnsi="Arial" w:cs="Arial"/>
        <w:b/>
        <w:color w:val="C00000"/>
        <w:sz w:val="28"/>
        <w:szCs w:val="28"/>
      </w:rPr>
      <w:t>III Съезд неврологов и психиатров</w:t>
    </w:r>
  </w:p>
  <w:p w:rsidR="00AB15E2" w:rsidRDefault="00AB15E2" w:rsidP="00AB15E2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ED5EA4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0441EF7" wp14:editId="7064A273">
          <wp:simplePos x="0" y="0"/>
          <wp:positionH relativeFrom="column">
            <wp:posOffset>-741680</wp:posOffset>
          </wp:positionH>
          <wp:positionV relativeFrom="paragraph">
            <wp:posOffset>161290</wp:posOffset>
          </wp:positionV>
          <wp:extent cx="584988" cy="579120"/>
          <wp:effectExtent l="0" t="0" r="5715" b="0"/>
          <wp:wrapNone/>
          <wp:docPr id="79" name="Рисунок 79" descr="\\TERRASERVER\Hranilishe\МЕРОПРИЯТИЯ\!!! АРХИВ МЕРОПРИЯТИЙ !!!\16-05-11-12-ОлимпиАда\00-Логотип мероприятия\Н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TERRASERVER\Hranilishe\МЕРОПРИЯТИЯ\!!! АРХИВ МЕРОПРИЯТИЙ !!!\16-05-11-12-ОлимпиАда\00-Логотип мероприятия\НН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88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75">
      <w:rPr>
        <w:rFonts w:ascii="Arial" w:hAnsi="Arial" w:cs="Arial"/>
        <w:b/>
        <w:color w:val="C00000"/>
        <w:sz w:val="28"/>
        <w:szCs w:val="28"/>
      </w:rPr>
      <w:t>Средневолжского научно-образовательного</w:t>
    </w:r>
  </w:p>
  <w:p w:rsidR="00AB15E2" w:rsidRDefault="00AB15E2" w:rsidP="00AB15E2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BD5575">
      <w:rPr>
        <w:rFonts w:ascii="Arial" w:hAnsi="Arial" w:cs="Arial"/>
        <w:b/>
        <w:color w:val="C00000"/>
        <w:sz w:val="28"/>
        <w:szCs w:val="28"/>
      </w:rPr>
      <w:t>медицинского кластера ПФО</w:t>
    </w:r>
  </w:p>
  <w:p w:rsidR="00AB15E2" w:rsidRPr="00BD5575" w:rsidRDefault="00AB15E2" w:rsidP="00AB15E2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BD5575">
      <w:rPr>
        <w:rFonts w:ascii="Arial" w:hAnsi="Arial" w:cs="Arial"/>
        <w:b/>
        <w:color w:val="C00000"/>
        <w:sz w:val="28"/>
        <w:szCs w:val="28"/>
      </w:rPr>
      <w:t xml:space="preserve">«Актуальные вопросы клинической </w:t>
    </w:r>
    <w:r w:rsidRPr="00BD5575">
      <w:rPr>
        <w:rFonts w:ascii="Arial" w:hAnsi="Arial" w:cs="Arial"/>
        <w:b/>
        <w:bCs/>
        <w:color w:val="C00000"/>
        <w:sz w:val="28"/>
        <w:szCs w:val="28"/>
      </w:rPr>
      <w:t>неврологии и психиатрии»</w:t>
    </w:r>
  </w:p>
  <w:p w:rsidR="00AB15E2" w:rsidRDefault="00AB15E2" w:rsidP="00AB15E2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32"/>
      </w:rPr>
    </w:pPr>
  </w:p>
  <w:p w:rsidR="00AB15E2" w:rsidRPr="00BD5575" w:rsidRDefault="00AB15E2" w:rsidP="00AB15E2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32"/>
      </w:rPr>
    </w:pPr>
    <w:r w:rsidRPr="00BD5575">
      <w:rPr>
        <w:rFonts w:ascii="Arial" w:hAnsi="Arial" w:cs="Arial"/>
        <w:b/>
        <w:color w:val="C00000"/>
        <w:sz w:val="28"/>
        <w:szCs w:val="32"/>
      </w:rPr>
      <w:t>28-29 НОЯБРЯ 2019 ГОДА</w:t>
    </w:r>
  </w:p>
  <w:p w:rsidR="00AB15E2" w:rsidRPr="00BD5575" w:rsidRDefault="00AB15E2" w:rsidP="00AB15E2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4"/>
        <w:szCs w:val="32"/>
      </w:rPr>
    </w:pPr>
    <w:r w:rsidRPr="00BD5575">
      <w:rPr>
        <w:rFonts w:ascii="Arial" w:hAnsi="Arial" w:cs="Arial"/>
        <w:b/>
        <w:color w:val="C00000"/>
        <w:sz w:val="24"/>
        <w:szCs w:val="32"/>
      </w:rPr>
      <w:t>Нижний Новгород, пр-т Гагарина 27</w:t>
    </w:r>
  </w:p>
  <w:p w:rsidR="00AB15E2" w:rsidRPr="00BD5575" w:rsidRDefault="00AB15E2" w:rsidP="00AB15E2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4"/>
        <w:szCs w:val="32"/>
      </w:rPr>
    </w:pPr>
    <w:r w:rsidRPr="00BD5575">
      <w:rPr>
        <w:rFonts w:ascii="Arial" w:hAnsi="Arial" w:cs="Arial"/>
        <w:b/>
        <w:color w:val="C00000"/>
        <w:sz w:val="24"/>
        <w:szCs w:val="32"/>
      </w:rPr>
      <w:t>ГК «ОКА»</w:t>
    </w:r>
  </w:p>
  <w:p w:rsidR="00AB15E2" w:rsidRDefault="00AB15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C6479"/>
    <w:multiLevelType w:val="multilevel"/>
    <w:tmpl w:val="AA2CF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497"/>
    <w:rsid w:val="00003BB7"/>
    <w:rsid w:val="00071E01"/>
    <w:rsid w:val="001A3076"/>
    <w:rsid w:val="002566A3"/>
    <w:rsid w:val="00346126"/>
    <w:rsid w:val="00466CD5"/>
    <w:rsid w:val="004F5237"/>
    <w:rsid w:val="00AB15E2"/>
    <w:rsid w:val="00DE7497"/>
    <w:rsid w:val="00F5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255B2-29FC-4000-9254-6FD47E28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E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03B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15E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B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E2"/>
  </w:style>
  <w:style w:type="paragraph" w:styleId="a6">
    <w:name w:val="footer"/>
    <w:basedOn w:val="a"/>
    <w:link w:val="a7"/>
    <w:uiPriority w:val="99"/>
    <w:unhideWhenUsed/>
    <w:rsid w:val="00AB1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E2"/>
  </w:style>
  <w:style w:type="paragraph" w:styleId="a8">
    <w:name w:val="Normal (Web)"/>
    <w:basedOn w:val="a"/>
    <w:uiPriority w:val="99"/>
    <w:semiHidden/>
    <w:unhideWhenUsed/>
    <w:rsid w:val="00F5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6F4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Emphasis"/>
    <w:basedOn w:val="a0"/>
    <w:uiPriority w:val="20"/>
    <w:qFormat/>
    <w:rsid w:val="00003B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sis@nn-terra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tipenkoea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7691/stm2015.7.2.0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cbi.nlm.nih.gov/nlmcatalog/journ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m.journa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3257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2019-08-24T10:54:00Z</dcterms:created>
  <dcterms:modified xsi:type="dcterms:W3CDTF">2019-08-27T12:38:00Z</dcterms:modified>
</cp:coreProperties>
</file>