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72BA3432" w:rsidR="00246E91" w:rsidRPr="00F24DA1" w:rsidRDefault="0073189A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F24DA1">
        <w:rPr>
          <w:rFonts w:ascii="Times New Roman" w:hAnsi="Times New Roman"/>
          <w:b/>
          <w:sz w:val="24"/>
          <w:szCs w:val="24"/>
        </w:rPr>
        <w:t>Научный отчет кафедры общей</w:t>
      </w:r>
      <w:r w:rsidR="00FD2822">
        <w:rPr>
          <w:rFonts w:ascii="Times New Roman" w:hAnsi="Times New Roman"/>
          <w:b/>
          <w:sz w:val="24"/>
          <w:szCs w:val="24"/>
        </w:rPr>
        <w:t xml:space="preserve"> патологии (патофизиология) за 1 квартал 2023</w:t>
      </w:r>
      <w:r w:rsidR="00F24DA1">
        <w:rPr>
          <w:rFonts w:ascii="Times New Roman" w:hAnsi="Times New Roman"/>
          <w:b/>
          <w:sz w:val="24"/>
          <w:szCs w:val="24"/>
        </w:rPr>
        <w:t>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C83123" w14:paraId="12D2B4BD" w14:textId="77777777" w:rsidTr="00A632A6">
        <w:tc>
          <w:tcPr>
            <w:tcW w:w="3408" w:type="dxa"/>
            <w:vMerge w:val="restart"/>
          </w:tcPr>
          <w:p w14:paraId="088D0B1E" w14:textId="66F546E1" w:rsidR="00061640" w:rsidRPr="00513AAC" w:rsidRDefault="00061640" w:rsidP="00FD28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FD2822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F94751" w14:textId="77777777" w:rsidR="00E4339C" w:rsidRPr="00710BF3" w:rsidRDefault="00E4339C" w:rsidP="00E4339C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Khairullin,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Yu. Teplov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, S. N. Grishin, and A. U. Ziganshin. Purinergic Mechanisms of Adaptation of Different Types of Motor Units under Conditions of Allergic Reorganization. Biophysics, 2022, Vol. 67, No. 6, pp. 996–999.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39C">
              <w:rPr>
                <w:rFonts w:ascii="Times New Roman" w:hAnsi="Times New Roman"/>
                <w:sz w:val="24"/>
                <w:szCs w:val="24"/>
              </w:rPr>
              <w:t>DOI: 10.1134/S0006350922050098</w:t>
            </w:r>
          </w:p>
          <w:p w14:paraId="0AE51E93" w14:textId="6331CB43" w:rsidR="00E3653C" w:rsidRPr="00C83123" w:rsidRDefault="00E4339C" w:rsidP="00E4339C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Khairullin, S. N. Grishin, </w:t>
            </w:r>
            <w:r w:rsidRPr="00710B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Yu. Teplov</w:t>
            </w:r>
            <w:r w:rsidRPr="00710BF3">
              <w:rPr>
                <w:rFonts w:ascii="Times New Roman" w:hAnsi="Times New Roman"/>
                <w:sz w:val="24"/>
                <w:szCs w:val="24"/>
                <w:lang w:val="en-US"/>
              </w:rPr>
              <w:t>, A. A. Eremeev, T. V. Baltina, and A. U. Ziganshin. A High Calcium Level-Based Model for Identifying Postsynaptic Effects of ATP. Biophysics, 2022, Vol. 67, No. 6, pp. 1007–1010.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39C">
              <w:rPr>
                <w:rFonts w:ascii="Times New Roman" w:hAnsi="Times New Roman"/>
                <w:sz w:val="24"/>
                <w:szCs w:val="24"/>
              </w:rPr>
              <w:t>DOI: 10.1134/S0006350922050086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C8312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со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-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цитируемость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ссылка на статью; DOI;</w:t>
            </w:r>
          </w:p>
        </w:tc>
        <w:tc>
          <w:tcPr>
            <w:tcW w:w="4940" w:type="dxa"/>
          </w:tcPr>
          <w:p w14:paraId="1796A235" w14:textId="77777777" w:rsidR="00710BF3" w:rsidRPr="00C83123" w:rsidRDefault="00710BF3" w:rsidP="00710BF3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Liliya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Lisovskaya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Ilmir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ilfanov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Inna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Fedyunina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Sergei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Kiselev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Zulfya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Azizova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Pestova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Evgeniy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Izmest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>’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Rubtsova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Rustem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Akhverdiev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Alexander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Gerasimov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Evgeniy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Sarbazyan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Shipina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Sergei</w:t>
            </w:r>
            <w:r w:rsidRPr="00C831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Andrei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Izmailov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Thioterpenoids of the Bornane Series with Potent Activity Against Opportunistic Micromycetes. BioNanoScience (2023) https://doi.org/10.1007/s12668-023-01069-2</w:t>
            </w:r>
          </w:p>
          <w:p w14:paraId="40649783" w14:textId="5C9D6E10" w:rsidR="00710BF3" w:rsidRPr="00710BF3" w:rsidRDefault="00710BF3" w:rsidP="00E4339C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Khairullin,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Yu. Teplov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, S. N. Grishin, and A. U. Ziganshin. Purinergic Mechanisms of Adaptation of Different Types of Motor Units under Conditions of Allergic Reorganization. Biophysics, 2022, Vol. 67, No. 6, pp. 996–999.</w:t>
            </w:r>
            <w:r w:rsidR="00E43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39C" w:rsidRPr="00E4339C">
              <w:rPr>
                <w:rFonts w:ascii="Times New Roman" w:hAnsi="Times New Roman"/>
                <w:sz w:val="24"/>
                <w:szCs w:val="24"/>
              </w:rPr>
              <w:t>DOI: 10.1134/S0006350922050098</w:t>
            </w:r>
          </w:p>
          <w:p w14:paraId="516C2DBA" w14:textId="4B591296" w:rsidR="00061640" w:rsidRPr="00710BF3" w:rsidRDefault="00710BF3" w:rsidP="00E4339C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Khairullin, S. N. Grishin, </w:t>
            </w:r>
            <w:r w:rsidRPr="00710B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Yu. Teplov</w:t>
            </w:r>
            <w:r w:rsidRPr="00710BF3">
              <w:rPr>
                <w:rFonts w:ascii="Times New Roman" w:hAnsi="Times New Roman"/>
                <w:sz w:val="24"/>
                <w:szCs w:val="24"/>
                <w:lang w:val="en-US"/>
              </w:rPr>
              <w:t>, A. A. Eremeev, T. V. Baltina, and A. U. Ziganshin. A High Calcium Level-Based Model for Identifying Postsynaptic Effects of ATP. Biophysics, 2022, Vol. 67, No. 6, pp. 1007–1010.</w:t>
            </w:r>
            <w:r w:rsidR="00E43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39C" w:rsidRPr="00E4339C">
              <w:rPr>
                <w:rFonts w:ascii="Times New Roman" w:hAnsi="Times New Roman"/>
                <w:sz w:val="24"/>
                <w:szCs w:val="24"/>
              </w:rPr>
              <w:t>DOI: 10.1134/S0006350922050086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4E536BC" w14:textId="4E588FF4" w:rsidR="00604236" w:rsidRPr="00604236" w:rsidRDefault="00604236" w:rsidP="00604236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E1559E0" w14:textId="77777777" w:rsidR="00710BF3" w:rsidRPr="00C83123" w:rsidRDefault="00710BF3" w:rsidP="00710BF3">
            <w:pPr>
              <w:pStyle w:val="af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Liliya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Lisovskaya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Ilmir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ilfanov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Inna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Fedyunina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Sergei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Kiselev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Zulfya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Azizova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Pestova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Evgeniy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Izmest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>’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Rubtsova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Rustem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Akhverdiev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Alexander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Gerasimov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Evgeniy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Sarbazyan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Shipina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Sergei</w:t>
            </w:r>
            <w:r w:rsidRPr="00C831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Andrei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Izmailov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Thioterpenoids of the Bornane Series with Potent Activity Against Opportunistic Micromycetes. BioNanoScience (2023) https://doi.org/10.1007/s12668-023-01069-2</w:t>
            </w:r>
          </w:p>
          <w:p w14:paraId="728189E3" w14:textId="77777777" w:rsidR="00E4339C" w:rsidRPr="00710BF3" w:rsidRDefault="00710BF3" w:rsidP="00E4339C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Khairullin,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Yu. Teplov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N. </w:t>
            </w:r>
            <w:r w:rsidR="00E4339C" w:rsidRPr="00C831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Khairullin, </w:t>
            </w:r>
            <w:r w:rsidR="00E4339C"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Yu. Teplov</w:t>
            </w:r>
            <w:r w:rsidR="00E4339C" w:rsidRPr="00C83123">
              <w:rPr>
                <w:rFonts w:ascii="Times New Roman" w:hAnsi="Times New Roman"/>
                <w:sz w:val="24"/>
                <w:szCs w:val="24"/>
                <w:lang w:val="en-US"/>
              </w:rPr>
              <w:t>, S. N. Grishin, and A. U. Ziganshin. Purinergic Mechanisms of Adaptation of Different Types of Motor Units under Conditions of Allergic Reorganization. Biophysics, 2022, Vol. 67, No. 6, pp. 996–999.</w:t>
            </w:r>
            <w:r w:rsidR="00E43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39C" w:rsidRPr="00E4339C">
              <w:rPr>
                <w:rFonts w:ascii="Times New Roman" w:hAnsi="Times New Roman"/>
                <w:sz w:val="24"/>
                <w:szCs w:val="24"/>
              </w:rPr>
              <w:t>DOI: 10.1134/S0006350922050098</w:t>
            </w:r>
          </w:p>
          <w:p w14:paraId="56E87426" w14:textId="6E93CD09" w:rsidR="00061640" w:rsidRPr="00710BF3" w:rsidRDefault="00E4339C" w:rsidP="00E4339C">
            <w:pPr>
              <w:pStyle w:val="af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Khairullin, S. N. Grishin, </w:t>
            </w:r>
            <w:r w:rsidRPr="00710B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Yu. Teplov</w:t>
            </w:r>
            <w:r w:rsidRPr="00710BF3">
              <w:rPr>
                <w:rFonts w:ascii="Times New Roman" w:hAnsi="Times New Roman"/>
                <w:sz w:val="24"/>
                <w:szCs w:val="24"/>
                <w:lang w:val="en-US"/>
              </w:rPr>
              <w:t>, A. A. Eremeev, T. V. Baltina, and A. U. Ziganshin. A High Calcium Level-Based Model for Identifying Postsynaptic Effects of ATP. Biophysics, 2022, Vol. 67, No. 6, pp. 1007–1010.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39C">
              <w:rPr>
                <w:rFonts w:ascii="Times New Roman" w:hAnsi="Times New Roman"/>
                <w:sz w:val="24"/>
                <w:szCs w:val="24"/>
              </w:rPr>
              <w:t>DOI: 10.1134/S0006350922050086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E6451CF" w14:textId="77777777" w:rsidR="00710BF3" w:rsidRPr="00C83123" w:rsidRDefault="00710BF3" w:rsidP="00710BF3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Liliya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Lisovskaya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Ilmir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ilfanov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Inna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Fedyunina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Sergei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Kiselev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Zulfya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Azizova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Pestova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Evgeniy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Izmest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>’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Rubtsova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Rustem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Akhverdiev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Alexander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Gerasimov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Evgeniy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Sarbazyan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Shipina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Sergei</w:t>
            </w:r>
            <w:r w:rsidRPr="00C831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8312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Andrei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Izmailov</w:t>
            </w:r>
            <w:r w:rsidRPr="00C83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123">
              <w:rPr>
                <w:rFonts w:ascii="Times New Roman" w:hAnsi="Times New Roman"/>
                <w:sz w:val="24"/>
                <w:szCs w:val="24"/>
                <w:lang w:val="en-US"/>
              </w:rPr>
              <w:t>Thioterpenoids of the Bornane Series with Potent Activity Against Opportunistic Micromycetes. BioNanoScience (2023) https://doi.org/10.1007/s12668-023-01069-2</w:t>
            </w:r>
          </w:p>
          <w:p w14:paraId="45B78343" w14:textId="78A6D282" w:rsidR="00061640" w:rsidRPr="00095164" w:rsidRDefault="00061640" w:rsidP="00710BF3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369767AC" w:rsidR="00061640" w:rsidRPr="00604236" w:rsidRDefault="00061640" w:rsidP="0060423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F066BB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580706B6" w:rsidR="00BC1299" w:rsidRPr="00BC1299" w:rsidRDefault="00BC1299" w:rsidP="00BC1299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2984CB5" w:rsidR="00874BE8" w:rsidRPr="00A632A6" w:rsidRDefault="00874BE8" w:rsidP="00FD28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82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40864BF7" w:rsidR="00095164" w:rsidRPr="006500F3" w:rsidRDefault="00095164" w:rsidP="00FD28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D2822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49583D4A" w:rsidR="00095164" w:rsidRPr="00095164" w:rsidRDefault="00095164" w:rsidP="00FD28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FD2822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55BB72EA" w14:textId="77777777" w:rsidTr="00A632A6">
        <w:tc>
          <w:tcPr>
            <w:tcW w:w="6048" w:type="dxa"/>
            <w:gridSpan w:val="2"/>
          </w:tcPr>
          <w:p w14:paraId="37FE696A" w14:textId="40CDD9D1" w:rsidR="00604236" w:rsidRPr="005875E7" w:rsidRDefault="00604236" w:rsidP="00FD28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D2822">
              <w:rPr>
                <w:rFonts w:ascii="Times New Roman" w:hAnsi="Times New Roman"/>
                <w:sz w:val="24"/>
                <w:szCs w:val="24"/>
              </w:rPr>
              <w:t>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CBECE5F" w14:textId="59EA3691" w:rsidR="00604236" w:rsidRPr="00A143FC" w:rsidRDefault="00604236" w:rsidP="0060423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А.Р.</w:t>
            </w:r>
            <w:r w:rsidR="0016596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6596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1659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«</w:t>
            </w:r>
            <w:r w:rsidRPr="00C02BF9">
              <w:rPr>
                <w:rFonts w:ascii="Times New Roman" w:hAnsi="Times New Roman"/>
                <w:sz w:val="24"/>
                <w:szCs w:val="24"/>
              </w:rPr>
              <w:t>Поиск новых молекулярных мишеней в терапии первичных злокачественных опухолей костей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 - РН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 № 20-75-00014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гг.)</w:t>
            </w:r>
            <w:r w:rsidR="0016596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(1500 тыс.)</w:t>
            </w:r>
          </w:p>
          <w:p w14:paraId="344980A4" w14:textId="41CED312" w:rsidR="00C272FC" w:rsidRPr="00A143FC" w:rsidRDefault="00C272FC" w:rsidP="0060423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272FC">
              <w:rPr>
                <w:rFonts w:ascii="Times New Roman" w:hAnsi="Times New Roman"/>
                <w:sz w:val="24"/>
                <w:szCs w:val="24"/>
              </w:rPr>
              <w:t>Государственное задание на создание молодежной научной лаборатории «Молекулярные механизмы химиорезистентности опухолей» (2022-2024гг.) (</w:t>
            </w:r>
            <w:r w:rsidRPr="00C272FC">
              <w:rPr>
                <w:rFonts w:ascii="Times New Roman" w:hAnsi="Times New Roman"/>
                <w:b/>
                <w:sz w:val="24"/>
                <w:szCs w:val="24"/>
              </w:rPr>
              <w:t>Галембикова А.Р.</w:t>
            </w:r>
            <w:r w:rsidR="0016596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16596F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). Название проекта: «Разработка новых подходов для преодоления лекарственной устойчивости злокачествен</w:t>
            </w:r>
            <w:r>
              <w:rPr>
                <w:rFonts w:ascii="Times New Roman" w:hAnsi="Times New Roman"/>
                <w:sz w:val="24"/>
                <w:szCs w:val="24"/>
              </w:rPr>
              <w:t>ных новообразований»</w:t>
            </w:r>
            <w:r w:rsidR="0016596F">
              <w:rPr>
                <w:rFonts w:ascii="Times New Roman" w:hAnsi="Times New Roman"/>
                <w:sz w:val="24"/>
                <w:szCs w:val="24"/>
              </w:rPr>
              <w:t xml:space="preserve"> (15000 тыс.)</w:t>
            </w:r>
          </w:p>
          <w:p w14:paraId="361EC6C0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3ACA6F5D" w14:textId="77777777" w:rsidTr="00A632A6">
        <w:tc>
          <w:tcPr>
            <w:tcW w:w="6048" w:type="dxa"/>
            <w:gridSpan w:val="2"/>
          </w:tcPr>
          <w:p w14:paraId="13345992" w14:textId="3A17B54F" w:rsidR="00604236" w:rsidRPr="00095164" w:rsidRDefault="00604236" w:rsidP="00C83C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FD2822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2886EAC" w14:textId="2CE85865" w:rsidR="00C272FC" w:rsidRPr="00C272FC" w:rsidRDefault="00C272FC" w:rsidP="00C272FC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="0016596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6596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1659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Мустафин И.Г.,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Дунаев П.Д., </w:t>
            </w:r>
            <w:r w:rsidRPr="00A143FC">
              <w:rPr>
                <w:rFonts w:ascii="Times New Roman" w:hAnsi="Times New Roman"/>
                <w:b/>
                <w:sz w:val="24"/>
                <w:szCs w:val="24"/>
              </w:rPr>
              <w:t xml:space="preserve">Бикиниева Ф.Ф.,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А.Р.,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Валеева Е.В., 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Зиновьев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Нургатина И.И.,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Сюзев К.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Куртасанов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Противоопухолевая активность 4-пиваоил-2-пирролонов в отношении сарком мягких тканей и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гастроинтестинальных стромальных опухолей (ГИСО)» - РНФ № 20-15-00001 (202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гг.)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– заявка на продление на 2023-2024 гг.</w:t>
            </w:r>
            <w:r w:rsidR="00C83CF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(7000 тыс.)</w:t>
            </w:r>
          </w:p>
          <w:p w14:paraId="16BFD95C" w14:textId="6A0547B5" w:rsidR="00C272FC" w:rsidRDefault="00C272FC" w:rsidP="00C272FC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272FC">
              <w:rPr>
                <w:rFonts w:ascii="Times New Roman" w:hAnsi="Times New Roman"/>
                <w:sz w:val="24"/>
                <w:szCs w:val="24"/>
              </w:rPr>
              <w:t>Государственное задание на создание молодежной научной лаборатории «Молекулярные механизмы химиорезистентности опухолей» (2022-2024гг.) (</w:t>
            </w:r>
            <w:r w:rsidRPr="00C272FC">
              <w:rPr>
                <w:rFonts w:ascii="Times New Roman" w:hAnsi="Times New Roman"/>
                <w:b/>
                <w:sz w:val="24"/>
                <w:szCs w:val="24"/>
              </w:rPr>
              <w:t>Галембикова А.Р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.</w:t>
            </w:r>
            <w:r w:rsidR="0016596F">
              <w:rPr>
                <w:rFonts w:ascii="Times New Roman" w:hAnsi="Times New Roman"/>
                <w:sz w:val="24"/>
                <w:szCs w:val="24"/>
              </w:rPr>
              <w:t>-руководитель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). Название проекта: «Разработка новых подходов для преодоления лекарственной устойчивости злокачествен</w:t>
            </w:r>
            <w:r>
              <w:rPr>
                <w:rFonts w:ascii="Times New Roman" w:hAnsi="Times New Roman"/>
                <w:sz w:val="24"/>
                <w:szCs w:val="24"/>
              </w:rPr>
              <w:t>ных новообразований» - заявка на продление на 2023 год.</w:t>
            </w:r>
            <w:r w:rsidR="00C83CFD">
              <w:rPr>
                <w:rFonts w:ascii="Times New Roman" w:hAnsi="Times New Roman"/>
                <w:sz w:val="24"/>
                <w:szCs w:val="24"/>
              </w:rPr>
              <w:t xml:space="preserve"> (15000 тыс.)</w:t>
            </w:r>
          </w:p>
          <w:p w14:paraId="0AF7F561" w14:textId="6A56E36A" w:rsidR="00FD2822" w:rsidRPr="00FD2822" w:rsidRDefault="00FD2822" w:rsidP="00FD2822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D2822">
              <w:rPr>
                <w:rFonts w:ascii="Times New Roman" w:hAnsi="Times New Roman"/>
                <w:sz w:val="24"/>
                <w:szCs w:val="24"/>
              </w:rPr>
              <w:t>Рыжкин С.А.</w:t>
            </w:r>
            <w:r w:rsidR="0016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6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6596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1659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2822">
              <w:rPr>
                <w:rFonts w:ascii="Times New Roman" w:hAnsi="Times New Roman"/>
                <w:b/>
                <w:sz w:val="24"/>
                <w:szCs w:val="24"/>
              </w:rPr>
              <w:t>Бикиниева Ф.Ф. Бойчук С.В., Галембикова А.Р.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2822">
              <w:rPr>
                <w:rFonts w:ascii="Times New Roman" w:hAnsi="Times New Roman"/>
                <w:sz w:val="24"/>
                <w:szCs w:val="24"/>
              </w:rPr>
              <w:t>«Поиск новых молекулярных мишеней в терапии рака предстательной железы»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РНФ № </w:t>
            </w:r>
            <w:r w:rsidRPr="00FD2822">
              <w:rPr>
                <w:rFonts w:ascii="Times New Roman" w:hAnsi="Times New Roman"/>
                <w:sz w:val="24"/>
                <w:szCs w:val="24"/>
              </w:rPr>
              <w:t>23-15-00123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(2023-25гг.)</w:t>
            </w:r>
            <w:r w:rsidR="00C83CFD">
              <w:rPr>
                <w:rFonts w:ascii="Times New Roman" w:hAnsi="Times New Roman"/>
                <w:sz w:val="24"/>
                <w:szCs w:val="24"/>
              </w:rPr>
              <w:t xml:space="preserve"> (7000 тыс.)</w:t>
            </w:r>
          </w:p>
          <w:p w14:paraId="34A42D6F" w14:textId="3E12D786" w:rsidR="00FD2822" w:rsidRPr="00FC070D" w:rsidRDefault="00C83CFD" w:rsidP="00C83CF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Дунаев П.Д.</w:t>
            </w:r>
            <w:r w:rsidR="0016596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6596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1659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83C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Бойчук С.В., </w:t>
            </w:r>
            <w:r>
              <w:rPr>
                <w:rFonts w:ascii="Times New Roman" w:hAnsi="Times New Roman"/>
                <w:sz w:val="24"/>
                <w:szCs w:val="24"/>
              </w:rPr>
              <w:t>Копни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</w:rPr>
              <w:t>П.Д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C070D" w:rsidRPr="00FC070D">
              <w:rPr>
                <w:rFonts w:ascii="Times New Roman" w:hAnsi="Times New Roman"/>
                <w:sz w:val="24"/>
                <w:szCs w:val="24"/>
              </w:rPr>
              <w:t>Молекулярные механизмы FGF-зависимой резистентности солидных опухолей к химио- и таргетным препаратам и способы ее преодоления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РНФ № 23-65-10003 (2023-26гг.) (14700 тыс.)</w:t>
            </w:r>
          </w:p>
          <w:p w14:paraId="5A5CF25B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28C65502" w14:textId="77777777" w:rsidTr="00A632A6">
        <w:tc>
          <w:tcPr>
            <w:tcW w:w="6048" w:type="dxa"/>
            <w:gridSpan w:val="2"/>
          </w:tcPr>
          <w:p w14:paraId="031F289E" w14:textId="3D9D6786" w:rsidR="00604236" w:rsidRPr="00513AAC" w:rsidRDefault="00604236" w:rsidP="00FD282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D2822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2D49C298" w14:textId="77777777" w:rsidTr="00A632A6">
        <w:tc>
          <w:tcPr>
            <w:tcW w:w="6048" w:type="dxa"/>
            <w:gridSpan w:val="2"/>
          </w:tcPr>
          <w:p w14:paraId="5BB8022B" w14:textId="750DC17C" w:rsidR="00604236" w:rsidRPr="00513AAC" w:rsidRDefault="00604236" w:rsidP="00FD28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D2822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0514A0FC" w14:textId="77777777" w:rsidTr="00A632A6">
        <w:tc>
          <w:tcPr>
            <w:tcW w:w="6048" w:type="dxa"/>
            <w:gridSpan w:val="2"/>
          </w:tcPr>
          <w:p w14:paraId="01BB1AD6" w14:textId="4D6B0DDA" w:rsidR="00604236" w:rsidRPr="00325664" w:rsidRDefault="00604236" w:rsidP="00FD28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70FED2FC" w14:textId="77777777" w:rsidTr="00A632A6">
        <w:tc>
          <w:tcPr>
            <w:tcW w:w="6048" w:type="dxa"/>
            <w:gridSpan w:val="2"/>
          </w:tcPr>
          <w:p w14:paraId="0370A14A" w14:textId="3F774D44" w:rsidR="00604236" w:rsidRPr="00061640" w:rsidRDefault="00604236" w:rsidP="00FD282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FD282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3CCD5446" w14:textId="77777777" w:rsidTr="00A632A6">
        <w:tc>
          <w:tcPr>
            <w:tcW w:w="6048" w:type="dxa"/>
            <w:gridSpan w:val="2"/>
          </w:tcPr>
          <w:p w14:paraId="7028C2DE" w14:textId="37CEB0B2" w:rsidR="00604236" w:rsidRPr="00513AAC" w:rsidRDefault="00604236" w:rsidP="00FD282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715147" w14:paraId="58ACB638" w14:textId="77777777" w:rsidTr="00A632A6">
        <w:tc>
          <w:tcPr>
            <w:tcW w:w="6048" w:type="dxa"/>
            <w:gridSpan w:val="2"/>
          </w:tcPr>
          <w:p w14:paraId="7AF1057C" w14:textId="77777777" w:rsidR="00604236" w:rsidRPr="00CD22C1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C5A7A4B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– редакционная коллегия журнала: "Казанский медицинский журнал" (Scopus)</w:t>
            </w:r>
          </w:p>
          <w:p w14:paraId="06125502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853E554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. – редакционная коллегия журнала: "Успехи молекулярной онкологии" (Scopus)</w:t>
            </w:r>
          </w:p>
          <w:p w14:paraId="15917274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7E082B1" w14:textId="3D30FADC" w:rsidR="00604236" w:rsidRPr="0071514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5147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7151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151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151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>: "</w:t>
            </w:r>
            <w:r w:rsidRPr="00B95AEC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Cancer</w:t>
            </w:r>
            <w:r w:rsidRPr="00715147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95AEC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Medicine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>" (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>)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C169D7">
              <w:rPr>
                <w:rFonts w:ascii="Times New Roman" w:hAnsi="Times New Roman"/>
                <w:sz w:val="24"/>
                <w:szCs w:val="24"/>
              </w:rPr>
              <w:t>г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027CC4" w14:textId="77777777" w:rsidR="00604236" w:rsidRPr="0071514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4778ED3" w14:textId="6D87F4F8" w:rsidR="00604236" w:rsidRPr="00D6677D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3F2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D667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6677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6677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рецензент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MDPI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6677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>2021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79AED970" w14:textId="77777777" w:rsidR="00604236" w:rsidRPr="00D6677D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3D8A502" w14:textId="464831A4" w:rsidR="00604236" w:rsidRPr="00715147" w:rsidRDefault="002713F2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5147">
              <w:rPr>
                <w:rFonts w:ascii="Times New Roman" w:hAnsi="Times New Roman"/>
                <w:sz w:val="24"/>
                <w:szCs w:val="24"/>
              </w:rPr>
              <w:t>5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04236"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="00604236" w:rsidRPr="007151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4236"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604236" w:rsidRPr="007151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04236"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604236" w:rsidRPr="007151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04236" w:rsidRPr="00B95AEC">
              <w:rPr>
                <w:rFonts w:ascii="Times New Roman" w:hAnsi="Times New Roman"/>
                <w:sz w:val="24"/>
                <w:szCs w:val="24"/>
              </w:rPr>
              <w:t>приглашенный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36" w:rsidRPr="00B95AEC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36" w:rsidRPr="00B95AEC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36" w:rsidRPr="00B95AEC">
              <w:rPr>
                <w:rFonts w:ascii="Times New Roman" w:hAnsi="Times New Roman"/>
                <w:sz w:val="24"/>
                <w:szCs w:val="24"/>
              </w:rPr>
              <w:t>выпуска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C169D7" w:rsidRPr="00715147">
              <w:t xml:space="preserve"> 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>"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>Novel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>Biomarkers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>Human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>Malignancies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>Diagnostic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>Prognostic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>Predictive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>Values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604236"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14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>Diagnostic</w:t>
            </w:r>
            <w:r w:rsidR="0071514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715147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04236"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4236" w:rsidRPr="00B95AE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36" w:rsidRPr="00B95A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36"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604236" w:rsidRPr="00715147">
              <w:rPr>
                <w:rFonts w:ascii="Times New Roman" w:hAnsi="Times New Roman"/>
                <w:sz w:val="24"/>
                <w:szCs w:val="24"/>
              </w:rPr>
              <w:t>)</w:t>
            </w:r>
            <w:r w:rsidR="00D6677D"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77D">
              <w:rPr>
                <w:rFonts w:ascii="Times New Roman" w:hAnsi="Times New Roman"/>
                <w:sz w:val="24"/>
                <w:szCs w:val="24"/>
              </w:rPr>
              <w:t>с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 xml:space="preserve"> 2022-</w:t>
            </w:r>
            <w:r w:rsidR="00715147" w:rsidRPr="00715147"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r w:rsidR="00715147">
              <w:rPr>
                <w:rFonts w:ascii="Times New Roman" w:hAnsi="Times New Roman"/>
                <w:sz w:val="24"/>
                <w:szCs w:val="24"/>
              </w:rPr>
              <w:t>января 20</w:t>
            </w:r>
            <w:r w:rsidR="00C169D7" w:rsidRPr="00715147">
              <w:rPr>
                <w:rFonts w:ascii="Times New Roman" w:hAnsi="Times New Roman"/>
                <w:sz w:val="24"/>
                <w:szCs w:val="24"/>
              </w:rPr>
              <w:t>23</w:t>
            </w:r>
            <w:r w:rsidR="00604236"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693F195D" w14:textId="77777777" w:rsidR="00604236" w:rsidRPr="0071514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789432" w14:textId="30BF0849" w:rsidR="00715147" w:rsidRPr="00715147" w:rsidRDefault="00715147" w:rsidP="00715147">
            <w:pPr>
              <w:pStyle w:val="af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1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Бойчук С.В.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– приглашенный редактор специального выпуска "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Targeting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Signaling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Pathways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Cancer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Therapy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>, 2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" журнала </w:t>
            </w:r>
            <w:r w:rsidRPr="00715147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47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>) с 2022-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октября 20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>23г</w:t>
            </w:r>
          </w:p>
          <w:p w14:paraId="0B6C66B4" w14:textId="2C373FD0" w:rsidR="00604236" w:rsidRPr="00DB3B0A" w:rsidRDefault="00715147" w:rsidP="00DB3B0A">
            <w:pPr>
              <w:pStyle w:val="af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147">
              <w:rPr>
                <w:rFonts w:ascii="Times New Roman" w:hAnsi="Times New Roman"/>
                <w:b/>
                <w:sz w:val="24"/>
                <w:szCs w:val="24"/>
              </w:rPr>
              <w:t>Мухутдинова Ф.И</w:t>
            </w:r>
            <w:r w:rsidRPr="00715147">
              <w:rPr>
                <w:rFonts w:ascii="Times New Roman" w:hAnsi="Times New Roman"/>
                <w:sz w:val="24"/>
                <w:szCs w:val="24"/>
              </w:rPr>
              <w:t>. – редакционная коллегия журнала: "Физиология" (научный журнал Казахского физиологического общества)</w:t>
            </w:r>
            <w:bookmarkStart w:id="0" w:name="_GoBack"/>
            <w:bookmarkEnd w:id="0"/>
          </w:p>
        </w:tc>
      </w:tr>
      <w:tr w:rsidR="00604236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604236" w:rsidRPr="00B2314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604236" w:rsidRPr="00B657AB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03DD7AD5" w:rsidR="00604236" w:rsidRDefault="00604236" w:rsidP="00710B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1523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0BF3">
              <w:t xml:space="preserve"> </w:t>
            </w:r>
            <w:r w:rsidR="00710BF3" w:rsidRPr="00710BF3">
              <w:rPr>
                <w:rFonts w:ascii="Times New Roman" w:hAnsi="Times New Roman"/>
                <w:sz w:val="24"/>
                <w:szCs w:val="24"/>
              </w:rPr>
              <w:t>КФУ.015.2 № 01-03/1217 от 14.09.2022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сроком на 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 xml:space="preserve">Совет по защите в области </w:t>
            </w:r>
            <w:r w:rsidR="00710BF3">
              <w:t xml:space="preserve"> </w:t>
            </w:r>
            <w:r w:rsidR="00710BF3" w:rsidRPr="00710BF3">
              <w:rPr>
                <w:rFonts w:ascii="Times New Roman" w:hAnsi="Times New Roman"/>
                <w:sz w:val="24"/>
                <w:szCs w:val="24"/>
              </w:rPr>
              <w:t>1.5.4. Биохимия (биологические науки), 1.5.7. Генетика (медицинские и биологические науки), 1.5.11. Микробиология (биологические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КФУ, Казань,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Член диссертационного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4236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604236" w:rsidRPr="00602E5B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216F9889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513B8561" w14:textId="00EBCCD0" w:rsidR="00156B06" w:rsidRDefault="00156B06" w:rsidP="00156B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 кафедры                                      асс., к.м.н. Галембикова А.Р.</w:t>
      </w:r>
    </w:p>
    <w:p w14:paraId="711CF15F" w14:textId="77777777" w:rsidR="00156B06" w:rsidRDefault="00156B06" w:rsidP="00156B06">
      <w:pPr>
        <w:rPr>
          <w:rFonts w:ascii="Times New Roman" w:hAnsi="Times New Roman"/>
          <w:sz w:val="24"/>
          <w:szCs w:val="24"/>
        </w:rPr>
      </w:pPr>
    </w:p>
    <w:p w14:paraId="503B92CA" w14:textId="3BFB9702" w:rsidR="00156B06" w:rsidRDefault="00156B06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                                                            проф., д.м.н. Бойчук С.В.</w:t>
      </w: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3DDDD" w14:textId="77777777" w:rsidR="0004021B" w:rsidRDefault="0004021B" w:rsidP="008638C3">
      <w:pPr>
        <w:spacing w:after="0"/>
      </w:pPr>
      <w:r>
        <w:separator/>
      </w:r>
    </w:p>
  </w:endnote>
  <w:endnote w:type="continuationSeparator" w:id="0">
    <w:p w14:paraId="185C65DE" w14:textId="77777777" w:rsidR="0004021B" w:rsidRDefault="0004021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F606B" w14:textId="77777777" w:rsidR="0004021B" w:rsidRDefault="0004021B" w:rsidP="008638C3">
      <w:pPr>
        <w:spacing w:after="0"/>
      </w:pPr>
      <w:r>
        <w:separator/>
      </w:r>
    </w:p>
  </w:footnote>
  <w:footnote w:type="continuationSeparator" w:id="0">
    <w:p w14:paraId="45407925" w14:textId="77777777" w:rsidR="0004021B" w:rsidRDefault="0004021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913"/>
    <w:multiLevelType w:val="hybridMultilevel"/>
    <w:tmpl w:val="2876B706"/>
    <w:lvl w:ilvl="0" w:tplc="8D34A9E4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6E5"/>
    <w:multiLevelType w:val="hybridMultilevel"/>
    <w:tmpl w:val="6A38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526"/>
    <w:multiLevelType w:val="hybridMultilevel"/>
    <w:tmpl w:val="87787D3A"/>
    <w:lvl w:ilvl="0" w:tplc="8228B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50A22"/>
    <w:multiLevelType w:val="hybridMultilevel"/>
    <w:tmpl w:val="DB70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1B2C"/>
    <w:multiLevelType w:val="hybridMultilevel"/>
    <w:tmpl w:val="DB70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4356"/>
    <w:multiLevelType w:val="hybridMultilevel"/>
    <w:tmpl w:val="6696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8D8"/>
    <w:multiLevelType w:val="hybridMultilevel"/>
    <w:tmpl w:val="DB70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27E1B"/>
    <w:multiLevelType w:val="hybridMultilevel"/>
    <w:tmpl w:val="2C74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D7AF1"/>
    <w:multiLevelType w:val="hybridMultilevel"/>
    <w:tmpl w:val="82904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F1538"/>
    <w:multiLevelType w:val="hybridMultilevel"/>
    <w:tmpl w:val="678604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1580D"/>
    <w:multiLevelType w:val="hybridMultilevel"/>
    <w:tmpl w:val="6A38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27A37"/>
    <w:multiLevelType w:val="hybridMultilevel"/>
    <w:tmpl w:val="C20A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9488E"/>
    <w:multiLevelType w:val="hybridMultilevel"/>
    <w:tmpl w:val="2C74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21B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56B06"/>
    <w:rsid w:val="0016596F"/>
    <w:rsid w:val="00184176"/>
    <w:rsid w:val="00186739"/>
    <w:rsid w:val="001911FA"/>
    <w:rsid w:val="0019491A"/>
    <w:rsid w:val="001A2E8D"/>
    <w:rsid w:val="001A337B"/>
    <w:rsid w:val="001B3121"/>
    <w:rsid w:val="001D076E"/>
    <w:rsid w:val="001D5BBC"/>
    <w:rsid w:val="001F275F"/>
    <w:rsid w:val="00206263"/>
    <w:rsid w:val="002152BC"/>
    <w:rsid w:val="00246E91"/>
    <w:rsid w:val="002713F2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666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10B6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0632D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0B82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4236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0BF3"/>
    <w:rsid w:val="0071404C"/>
    <w:rsid w:val="00715147"/>
    <w:rsid w:val="0071627E"/>
    <w:rsid w:val="0073189A"/>
    <w:rsid w:val="00740E4B"/>
    <w:rsid w:val="00745405"/>
    <w:rsid w:val="007513DE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7F6DB7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064D"/>
    <w:rsid w:val="008638C3"/>
    <w:rsid w:val="00872B0D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342F"/>
    <w:rsid w:val="00B541A5"/>
    <w:rsid w:val="00B56AB0"/>
    <w:rsid w:val="00B63EC6"/>
    <w:rsid w:val="00B646CD"/>
    <w:rsid w:val="00B80F71"/>
    <w:rsid w:val="00B82662"/>
    <w:rsid w:val="00B90F59"/>
    <w:rsid w:val="00BA2CDB"/>
    <w:rsid w:val="00BB3FB3"/>
    <w:rsid w:val="00BB4CAF"/>
    <w:rsid w:val="00BC1299"/>
    <w:rsid w:val="00BC3762"/>
    <w:rsid w:val="00BC7567"/>
    <w:rsid w:val="00BE112F"/>
    <w:rsid w:val="00BF0360"/>
    <w:rsid w:val="00BF10AF"/>
    <w:rsid w:val="00BF3B0C"/>
    <w:rsid w:val="00C0351F"/>
    <w:rsid w:val="00C03D40"/>
    <w:rsid w:val="00C169D7"/>
    <w:rsid w:val="00C23B4A"/>
    <w:rsid w:val="00C272FC"/>
    <w:rsid w:val="00C33205"/>
    <w:rsid w:val="00C41A80"/>
    <w:rsid w:val="00C471CF"/>
    <w:rsid w:val="00C51FCB"/>
    <w:rsid w:val="00C57FC1"/>
    <w:rsid w:val="00C6048E"/>
    <w:rsid w:val="00C66664"/>
    <w:rsid w:val="00C748D7"/>
    <w:rsid w:val="00C83123"/>
    <w:rsid w:val="00C83CFD"/>
    <w:rsid w:val="00C865F1"/>
    <w:rsid w:val="00CA1A4E"/>
    <w:rsid w:val="00CA3E9E"/>
    <w:rsid w:val="00CA4C14"/>
    <w:rsid w:val="00CA7361"/>
    <w:rsid w:val="00CB53DF"/>
    <w:rsid w:val="00CC1BC6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77D"/>
    <w:rsid w:val="00D66C75"/>
    <w:rsid w:val="00D70076"/>
    <w:rsid w:val="00D7114F"/>
    <w:rsid w:val="00D7288F"/>
    <w:rsid w:val="00D74DFB"/>
    <w:rsid w:val="00D85A14"/>
    <w:rsid w:val="00D93075"/>
    <w:rsid w:val="00DA1751"/>
    <w:rsid w:val="00DA689A"/>
    <w:rsid w:val="00DB3B0A"/>
    <w:rsid w:val="00DB725A"/>
    <w:rsid w:val="00DC367B"/>
    <w:rsid w:val="00DD38A8"/>
    <w:rsid w:val="00DF4E17"/>
    <w:rsid w:val="00E137A3"/>
    <w:rsid w:val="00E2038E"/>
    <w:rsid w:val="00E20A9B"/>
    <w:rsid w:val="00E24443"/>
    <w:rsid w:val="00E3653C"/>
    <w:rsid w:val="00E4339C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066BB"/>
    <w:rsid w:val="00F15FBA"/>
    <w:rsid w:val="00F24DA1"/>
    <w:rsid w:val="00F2697A"/>
    <w:rsid w:val="00F3626C"/>
    <w:rsid w:val="00F5163E"/>
    <w:rsid w:val="00F75BBE"/>
    <w:rsid w:val="00F8569D"/>
    <w:rsid w:val="00F93A98"/>
    <w:rsid w:val="00F95575"/>
    <w:rsid w:val="00FB2012"/>
    <w:rsid w:val="00FC070D"/>
    <w:rsid w:val="00FC66BC"/>
    <w:rsid w:val="00FD2822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72B0D"/>
    <w:pPr>
      <w:ind w:left="720"/>
      <w:contextualSpacing/>
    </w:pPr>
  </w:style>
  <w:style w:type="character" w:styleId="af0">
    <w:name w:val="Emphasis"/>
    <w:uiPriority w:val="20"/>
    <w:qFormat/>
    <w:rsid w:val="00604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257CF-2E3D-4DC6-B470-313940F1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9704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18</cp:revision>
  <cp:lastPrinted>2020-12-09T08:55:00Z</cp:lastPrinted>
  <dcterms:created xsi:type="dcterms:W3CDTF">2022-09-19T07:12:00Z</dcterms:created>
  <dcterms:modified xsi:type="dcterms:W3CDTF">2023-03-22T06:38:00Z</dcterms:modified>
</cp:coreProperties>
</file>