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2C" w:rsidRPr="00F06972" w:rsidRDefault="00015B2C" w:rsidP="00015B2C">
      <w:pPr>
        <w:jc w:val="center"/>
        <w:rPr>
          <w:rFonts w:ascii="Times New Roman" w:hAnsi="Times New Roman"/>
          <w:b/>
          <w:sz w:val="24"/>
          <w:szCs w:val="24"/>
        </w:rPr>
      </w:pPr>
      <w:r w:rsidRPr="00B95AEC">
        <w:rPr>
          <w:rFonts w:ascii="Times New Roman" w:hAnsi="Times New Roman"/>
          <w:b/>
          <w:sz w:val="24"/>
          <w:szCs w:val="24"/>
        </w:rPr>
        <w:t>Научный отчет кафедры Общей патологии</w:t>
      </w:r>
      <w:r>
        <w:rPr>
          <w:rFonts w:ascii="Times New Roman" w:hAnsi="Times New Roman"/>
          <w:b/>
          <w:sz w:val="24"/>
          <w:szCs w:val="24"/>
        </w:rPr>
        <w:t xml:space="preserve"> (патофизиология)</w:t>
      </w:r>
      <w:r w:rsidRPr="00B95AEC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1</w:t>
      </w:r>
      <w:r w:rsidRPr="00B95AEC">
        <w:rPr>
          <w:rFonts w:ascii="Times New Roman" w:hAnsi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</w:rPr>
        <w:t>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15B2C" w:rsidRPr="00450B4D" w:rsidTr="00507938">
        <w:tc>
          <w:tcPr>
            <w:tcW w:w="3408" w:type="dxa"/>
            <w:vMerge w:val="restart"/>
          </w:tcPr>
          <w:p w:rsidR="00015B2C" w:rsidRPr="00513AAC" w:rsidRDefault="00015B2C" w:rsidP="005079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15B2C" w:rsidRPr="00095164" w:rsidRDefault="00015B2C" w:rsidP="005079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15B2C" w:rsidRPr="00911091" w:rsidRDefault="00911091" w:rsidP="00911091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091">
              <w:rPr>
                <w:rFonts w:ascii="Times New Roman" w:hAnsi="Times New Roman"/>
                <w:sz w:val="24"/>
                <w:szCs w:val="24"/>
              </w:rPr>
              <w:t xml:space="preserve">Бойчук С.В., </w:t>
            </w:r>
            <w:proofErr w:type="spellStart"/>
            <w:r w:rsidRPr="00911091">
              <w:rPr>
                <w:rFonts w:ascii="Times New Roman" w:hAnsi="Times New Roman"/>
                <w:sz w:val="24"/>
                <w:szCs w:val="24"/>
              </w:rPr>
              <w:t>Бикиниева</w:t>
            </w:r>
            <w:proofErr w:type="spellEnd"/>
            <w:r w:rsidRPr="00911091">
              <w:rPr>
                <w:rFonts w:ascii="Times New Roman" w:hAnsi="Times New Roman"/>
                <w:sz w:val="24"/>
                <w:szCs w:val="24"/>
              </w:rPr>
              <w:t xml:space="preserve"> Ф.Ф., Мустафин И.Г., Зыкова С.С., Рыжкин С.А., </w:t>
            </w:r>
            <w:proofErr w:type="spellStart"/>
            <w:r w:rsidRPr="00911091">
              <w:rPr>
                <w:rFonts w:ascii="Times New Roman" w:hAnsi="Times New Roman"/>
                <w:sz w:val="24"/>
                <w:szCs w:val="24"/>
              </w:rPr>
              <w:t>Галембикова</w:t>
            </w:r>
            <w:proofErr w:type="spellEnd"/>
            <w:r w:rsidRPr="00911091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091">
              <w:rPr>
                <w:rFonts w:ascii="Times New Roman" w:hAnsi="Times New Roman"/>
                <w:sz w:val="24"/>
                <w:szCs w:val="24"/>
              </w:rPr>
              <w:t xml:space="preserve">2-амино-пиррол-карбоксилат ослабляет процессы гомологичной рекомбинации ДНК и вызывает </w:t>
            </w:r>
            <w:proofErr w:type="spellStart"/>
            <w:r w:rsidRPr="00911091">
              <w:rPr>
                <w:rFonts w:ascii="Times New Roman" w:hAnsi="Times New Roman"/>
                <w:sz w:val="24"/>
                <w:szCs w:val="24"/>
              </w:rPr>
              <w:t>сенситизацию</w:t>
            </w:r>
            <w:proofErr w:type="spellEnd"/>
            <w:r w:rsidRPr="00911091">
              <w:rPr>
                <w:rFonts w:ascii="Times New Roman" w:hAnsi="Times New Roman"/>
                <w:sz w:val="24"/>
                <w:szCs w:val="24"/>
              </w:rPr>
              <w:t xml:space="preserve"> опухолевых клеток к </w:t>
            </w:r>
            <w:proofErr w:type="spellStart"/>
            <w:r w:rsidRPr="00911091">
              <w:rPr>
                <w:rFonts w:ascii="Times New Roman" w:hAnsi="Times New Roman"/>
                <w:sz w:val="24"/>
                <w:szCs w:val="24"/>
              </w:rPr>
              <w:t>доксорубицину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1091">
              <w:rPr>
                <w:rFonts w:ascii="Times New Roman" w:hAnsi="Times New Roman"/>
                <w:sz w:val="24"/>
                <w:szCs w:val="24"/>
              </w:rPr>
              <w:t>Биохимия. 2022. Т. 87. № 4. С. 539-549.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DOI: </w:t>
            </w:r>
            <w:hyperlink r:id="rId5" w:tgtFrame="_blank" w:history="1">
              <w:r>
                <w:rPr>
                  <w:rStyle w:val="a3"/>
                  <w:color w:val="00008F"/>
                </w:rPr>
                <w:t>10.31857/S0320972522040066</w:t>
              </w:r>
            </w:hyperlink>
          </w:p>
          <w:p w:rsidR="009D4B79" w:rsidRPr="009D4B79" w:rsidRDefault="009D4B79" w:rsidP="009D4B79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B79">
              <w:rPr>
                <w:rFonts w:ascii="Times New Roman" w:hAnsi="Times New Roman"/>
                <w:sz w:val="24"/>
                <w:szCs w:val="24"/>
              </w:rPr>
              <w:t xml:space="preserve">Гришин С.Н., Хайруллин А.Е., Теплов А.Ю., </w:t>
            </w:r>
            <w:proofErr w:type="spellStart"/>
            <w:r w:rsidRPr="009D4B79"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 w:rsidRPr="009D4B79">
              <w:rPr>
                <w:rFonts w:ascii="Times New Roman" w:hAnsi="Times New Roman"/>
                <w:sz w:val="24"/>
                <w:szCs w:val="24"/>
              </w:rPr>
              <w:t xml:space="preserve"> М.А. Мионевральная передача в бариевой среде. Биофизика. 2022. Т. 67. № 3. С. 576-580.</w:t>
            </w:r>
          </w:p>
          <w:p w:rsidR="009D4B79" w:rsidRPr="009D4B79" w:rsidRDefault="009D4B79" w:rsidP="009D4B79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4B79">
              <w:rPr>
                <w:rFonts w:ascii="Times New Roman" w:hAnsi="Times New Roman"/>
                <w:sz w:val="24"/>
                <w:szCs w:val="24"/>
              </w:rPr>
              <w:t xml:space="preserve">Хайруллин А.Е., Теплов А.Ю., Гришин С.Н., </w:t>
            </w:r>
            <w:proofErr w:type="spellStart"/>
            <w:r w:rsidRPr="009D4B79"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 w:rsidRPr="009D4B79">
              <w:rPr>
                <w:rFonts w:ascii="Times New Roman" w:hAnsi="Times New Roman"/>
                <w:sz w:val="24"/>
                <w:szCs w:val="24"/>
              </w:rPr>
              <w:t xml:space="preserve"> А.У. </w:t>
            </w:r>
            <w:proofErr w:type="spellStart"/>
            <w:r w:rsidRPr="009D4B79">
              <w:rPr>
                <w:rFonts w:ascii="Times New Roman" w:hAnsi="Times New Roman"/>
                <w:sz w:val="24"/>
                <w:szCs w:val="24"/>
              </w:rPr>
              <w:t>Пуринергические</w:t>
            </w:r>
            <w:proofErr w:type="spellEnd"/>
            <w:r w:rsidRPr="009D4B79">
              <w:rPr>
                <w:rFonts w:ascii="Times New Roman" w:hAnsi="Times New Roman"/>
                <w:sz w:val="24"/>
                <w:szCs w:val="24"/>
              </w:rPr>
              <w:t xml:space="preserve"> механизмы адаптации диафрагмы мыши в условиях аллергической перестройки. Биофизика. 2022. Т. 67. № 3. С. 596-599.</w:t>
            </w:r>
          </w:p>
          <w:p w:rsidR="00911091" w:rsidRPr="00911091" w:rsidRDefault="00911091" w:rsidP="00911091">
            <w:pPr>
              <w:pStyle w:val="a5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5B2C" w:rsidRPr="00BC3E61" w:rsidTr="00507938">
        <w:tc>
          <w:tcPr>
            <w:tcW w:w="3408" w:type="dxa"/>
            <w:vMerge/>
          </w:tcPr>
          <w:p w:rsidR="00015B2C" w:rsidRPr="00095164" w:rsidRDefault="00015B2C" w:rsidP="005079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15B2C" w:rsidRPr="00095164" w:rsidRDefault="00015B2C" w:rsidP="005079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15B2C" w:rsidRDefault="00E11E68" w:rsidP="00E11E68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1E68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E11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E11E68">
              <w:rPr>
                <w:rFonts w:ascii="Times New Roman" w:hAnsi="Times New Roman"/>
                <w:sz w:val="24"/>
                <w:szCs w:val="24"/>
                <w:lang w:val="en-US"/>
              </w:rPr>
              <w:t>Bikinieva</w:t>
            </w:r>
            <w:proofErr w:type="spellEnd"/>
            <w:r w:rsidRPr="00E11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F., </w:t>
            </w:r>
            <w:proofErr w:type="spellStart"/>
            <w:r w:rsidRPr="00E11E68">
              <w:rPr>
                <w:rFonts w:ascii="Times New Roman" w:hAnsi="Times New Roman"/>
                <w:sz w:val="24"/>
                <w:szCs w:val="24"/>
                <w:lang w:val="en-US"/>
              </w:rPr>
              <w:t>Mustafin</w:t>
            </w:r>
            <w:proofErr w:type="spellEnd"/>
            <w:r w:rsidRPr="00E11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 et al. 2-Amino-Pyrrole-Carboxylate Attenuates Homology-Mediated DNA Repair and Sensitizes Cancer Cells to Doxorubicin. </w:t>
            </w:r>
            <w:proofErr w:type="spellStart"/>
            <w:r w:rsidRPr="00E11E68">
              <w:rPr>
                <w:rFonts w:ascii="Times New Roman" w:hAnsi="Times New Roman"/>
                <w:sz w:val="24"/>
                <w:szCs w:val="24"/>
              </w:rPr>
              <w:t>Biochemistry</w:t>
            </w:r>
            <w:proofErr w:type="spellEnd"/>
            <w:r w:rsidRPr="00E11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E68">
              <w:rPr>
                <w:rFonts w:ascii="Times New Roman" w:hAnsi="Times New Roman"/>
                <w:sz w:val="24"/>
                <w:szCs w:val="24"/>
              </w:rPr>
              <w:t>Moscow</w:t>
            </w:r>
            <w:proofErr w:type="spellEnd"/>
            <w:r w:rsidRPr="00E11E68">
              <w:rPr>
                <w:rFonts w:ascii="Times New Roman" w:hAnsi="Times New Roman"/>
                <w:sz w:val="24"/>
                <w:szCs w:val="24"/>
              </w:rPr>
              <w:t xml:space="preserve"> 87, 391–399 (2022). </w:t>
            </w:r>
            <w:hyperlink r:id="rId6" w:history="1">
              <w:r w:rsidRPr="00A610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https://doi.org/10.1134/S0006297922050017</w:t>
              </w:r>
            </w:hyperlink>
          </w:p>
          <w:p w:rsidR="00BC3E61" w:rsidRDefault="00BC3E61" w:rsidP="00BC3E6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Guseva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Antina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Berezin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Gilfanov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Shevchenko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Pestova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Izmest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>'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Rubtsova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OV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Efimov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Klochkov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VV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Rakhmatullin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IZ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Timerova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AF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Khodov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Lodochnikova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OA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Islamov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Dorovatovskii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PV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BC3E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Design, Spectral Characteristics,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Photostability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Possibilities for Practical Application of BODIPY FL-Labeled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Thioterpenoid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Bioengineering (Basel). 2022 May 12;9(5):210.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: 10.3390/bioengineering9050210</w:t>
            </w:r>
          </w:p>
          <w:p w:rsidR="00BC3E61" w:rsidRDefault="00BC3E61" w:rsidP="00BC3E6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Syuzov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Bikinieva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Galembikova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Zykova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Gankova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Igidov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Igidov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 Computational-Based Discovery of the Anti-Cancer Activities of Pyrrole-Based Compounds Targeting the Colchicine-Binding Site of Tubulin. Molecules. 2022 Apr 30;27(9):2873.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 10.3390/molecules27092873</w:t>
            </w:r>
          </w:p>
          <w:p w:rsidR="00B749D7" w:rsidRPr="00641A93" w:rsidRDefault="00B749D7" w:rsidP="00641A93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Mani, S., </w:t>
            </w:r>
            <w:proofErr w:type="spell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Hande</w:t>
            </w:r>
            <w:proofErr w:type="spell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&amp; </w:t>
            </w:r>
            <w:proofErr w:type="spell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Triple-Negative Breast Cancer: </w:t>
            </w:r>
            <w:proofErr w:type="gram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Current Aspects of Pathogenesis and Therapies. </w:t>
            </w:r>
            <w:proofErr w:type="spell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BioNanoSci</w:t>
            </w:r>
            <w:proofErr w:type="spell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(2022). </w:t>
            </w:r>
            <w:hyperlink r:id="rId7" w:history="1">
              <w:r w:rsidRPr="00A610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https://doi.org/10.1007/s12668-022-00991-1</w:t>
              </w:r>
            </w:hyperlink>
          </w:p>
        </w:tc>
      </w:tr>
      <w:tr w:rsidR="00015B2C" w:rsidRPr="00162485" w:rsidTr="00507938">
        <w:tc>
          <w:tcPr>
            <w:tcW w:w="3408" w:type="dxa"/>
            <w:vMerge/>
          </w:tcPr>
          <w:p w:rsidR="00015B2C" w:rsidRPr="00BC3E61" w:rsidRDefault="00015B2C" w:rsidP="005079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15B2C" w:rsidRPr="00162485" w:rsidRDefault="00015B2C" w:rsidP="005079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2485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:rsidR="00015B2C" w:rsidRPr="00162485" w:rsidRDefault="00015B2C" w:rsidP="005079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641A93" w:rsidTr="00507938">
        <w:tc>
          <w:tcPr>
            <w:tcW w:w="3408" w:type="dxa"/>
            <w:vMerge/>
          </w:tcPr>
          <w:p w:rsidR="00641A93" w:rsidRPr="00162485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162485">
              <w:rPr>
                <w:rFonts w:ascii="Times New Roman" w:hAnsi="Times New Roman"/>
                <w:sz w:val="24"/>
                <w:szCs w:val="24"/>
              </w:rPr>
              <w:t>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41A93" w:rsidRDefault="00641A93" w:rsidP="00641A93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Bikinieva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F.,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Mustafin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 et al. 2-Amino-Pyrrole-Carboxylate Attenuates Homology-Mediated DNA Repair and Sensitizes Cancer Cells to Doxorubicin.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Biochemistry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Moscow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87, 391–399 (2022). </w:t>
            </w:r>
            <w:hyperlink r:id="rId8" w:history="1">
              <w:r w:rsidRPr="00641A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https://doi.org/10.1134/S0006297922050017</w:t>
              </w:r>
            </w:hyperlink>
          </w:p>
          <w:p w:rsidR="00641A93" w:rsidRPr="00641A93" w:rsidRDefault="00641A93" w:rsidP="00641A93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Guseva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Antina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Berezin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Gilfanov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Shevchenko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Pestova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Izmest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>'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Rubtsova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OV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Efimov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Klochkov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VV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Rakhmatullin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IZ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Timerova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AF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Khodov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Lodochnikova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OA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Islamov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Dorovatovskii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PV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Design, Spectral Characteristics,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Photostability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Possibilities for Practical Application of BODIPY FL-Labeled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Thioterpenoid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Bioengineering (Basel). 2022 May 12;9(5):210.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: 10.3390/bioengineering9050210</w:t>
            </w:r>
          </w:p>
          <w:p w:rsidR="00641A93" w:rsidRDefault="00641A93" w:rsidP="00641A93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Syuzov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Bikinieva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Galembikova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Zykova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Gankova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Igidov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Igidov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 Computational-Based Discovery of the Anti-Cancer Activities of Pyrrole-Based Compounds Targeting the Colchicine-Binding Site of Tubulin. Molecules. 2022 Apr 30;27(9):2873.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 10.3390/molecules27092873</w:t>
            </w:r>
          </w:p>
          <w:p w:rsidR="00641A93" w:rsidRPr="00641A93" w:rsidRDefault="00641A93" w:rsidP="00641A93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Mani, S., </w:t>
            </w:r>
            <w:proofErr w:type="spell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Hande</w:t>
            </w:r>
            <w:proofErr w:type="spell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&amp; </w:t>
            </w:r>
            <w:proofErr w:type="spell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Triple-Negative Breast Cancer: </w:t>
            </w:r>
            <w:proofErr w:type="gram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Current Aspects of Pathogenesis and Therapies. </w:t>
            </w:r>
            <w:proofErr w:type="spell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BioNanoSci</w:t>
            </w:r>
            <w:proofErr w:type="spell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(2022). </w:t>
            </w:r>
            <w:hyperlink r:id="rId9" w:history="1">
              <w:r w:rsidRPr="00A610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https://doi.org/10.1007/s12668-022-00991-1</w:t>
              </w:r>
            </w:hyperlink>
          </w:p>
          <w:p w:rsidR="00641A93" w:rsidRPr="00641A93" w:rsidRDefault="00641A93" w:rsidP="00641A9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1A93" w:rsidRPr="00450B4D" w:rsidTr="00507938">
        <w:tc>
          <w:tcPr>
            <w:tcW w:w="3408" w:type="dxa"/>
            <w:vMerge/>
          </w:tcPr>
          <w:p w:rsidR="00641A93" w:rsidRPr="00641A93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641A93" w:rsidRPr="00513AA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41A93" w:rsidRDefault="00641A93" w:rsidP="00641A93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Bikinieva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F.,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Mustafin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 et al. 2-Amino-Pyrrole-Carboxylate Attenuates Homology-Mediated DNA Repair and Sensitizes Cancer Cells to Doxorubicin.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Biochemistry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Moscow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87, 391–399 (2022). </w:t>
            </w:r>
            <w:hyperlink r:id="rId10" w:history="1">
              <w:r w:rsidRPr="00641A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https://doi.org/10.1134/S0006297922050017</w:t>
              </w:r>
            </w:hyperlink>
          </w:p>
          <w:p w:rsidR="00641A93" w:rsidRPr="00641A93" w:rsidRDefault="00641A93" w:rsidP="00641A93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Guseva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Antina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Berezin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Gilfanov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Shevchenko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OG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Pestova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Izmest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>'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Rubtsova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OV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Efimov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Klochkov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VV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Rakhmatullin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IZ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Timerova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AF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Khodov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Lodochnikova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OA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Islamov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Dorovatovskii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PV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Design, Spectral Characteristics,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Photostability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Possibilities for Practical Application of BODIPY FL-Labeled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Thioterpenoid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Bioengineering (Basel). 2022 May 12;9(5):210.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  <w:lang w:val="en-US"/>
              </w:rPr>
              <w:t>: 10.3390/bioengineering9050210</w:t>
            </w:r>
          </w:p>
          <w:p w:rsidR="00641A93" w:rsidRDefault="00641A93" w:rsidP="00641A93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Syuzov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Bikinieva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Galembikova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Zykova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Gankova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Igidov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>Igidov</w:t>
            </w:r>
            <w:proofErr w:type="spellEnd"/>
            <w:r w:rsidRPr="00BC3E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 Computational-Based Discovery of the Anti-Cancer Activities of Pyrrole-Based Compounds Targeting the Colchicine-Binding Site of Tubulin. Molecules. 2022 Apr 30;27(9):2873.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 10.3390/molecules27092873</w:t>
            </w:r>
          </w:p>
          <w:p w:rsidR="00641A93" w:rsidRPr="00641A93" w:rsidRDefault="00641A93" w:rsidP="00641A93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Mani, S., </w:t>
            </w:r>
            <w:proofErr w:type="spell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Hande</w:t>
            </w:r>
            <w:proofErr w:type="spell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&amp; </w:t>
            </w:r>
            <w:proofErr w:type="spell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Triple-Negative Breast Cancer: </w:t>
            </w:r>
            <w:proofErr w:type="gram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Current Aspects of Pathogenesis and Therapies. </w:t>
            </w:r>
            <w:proofErr w:type="spellStart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>BioNanoSci</w:t>
            </w:r>
            <w:proofErr w:type="spellEnd"/>
            <w:r w:rsidRPr="00B749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(2022). </w:t>
            </w:r>
            <w:hyperlink r:id="rId11" w:history="1">
              <w:r w:rsidRPr="00A610D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https://doi.org/10.1007/s12668-022-00991-1</w:t>
              </w:r>
            </w:hyperlink>
          </w:p>
          <w:p w:rsidR="00641A93" w:rsidRPr="00641A93" w:rsidRDefault="00641A93" w:rsidP="00641A9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1A93" w:rsidRPr="00450B4D" w:rsidTr="00507938">
        <w:tc>
          <w:tcPr>
            <w:tcW w:w="3408" w:type="dxa"/>
            <w:vMerge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41A93" w:rsidRPr="00513AA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3408" w:type="dxa"/>
            <w:vMerge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A632A6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</w:tcPr>
          <w:p w:rsidR="00641A93" w:rsidRPr="00641A93" w:rsidRDefault="00641A93" w:rsidP="00641A9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41A93">
              <w:rPr>
                <w:rFonts w:ascii="Times New Roman" w:hAnsi="Times New Roman"/>
                <w:sz w:val="24"/>
                <w:szCs w:val="24"/>
              </w:rPr>
              <w:t xml:space="preserve">С.В. Бойчук. «Современные аспекты резистентности злокачественных новообразований к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химио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таргетным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препаратам». ПОВОЛЖСКИЙ ОНКОЛОГИЧЕСКИЙ ФОРУМ, секция "Трансляционная медицина/ Фундаментальная наука в решении практических задач онкологии" 2022, г. Казань (устное выступление)</w:t>
            </w:r>
          </w:p>
          <w:p w:rsidR="00641A93" w:rsidRDefault="00641A93" w:rsidP="00641A93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lastRenderedPageBreak/>
              <w:t>Галембикова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А.Р. Новые молекулярные механизмы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сенситизации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солидных опухолей к ингибиторам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топоизомеразы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II типа. ПОВОЛЖСКИЙ ОНКОЛОГИЧЕСКИЙ ФОРУМ, секция "Трансляционная медицина/ Фундаментальная наука в решении практических задач онкологии" 2022, г. Казань (устное выступление)</w:t>
            </w:r>
          </w:p>
          <w:p w:rsidR="00641A93" w:rsidRPr="00641A93" w:rsidRDefault="00641A93" w:rsidP="00641A93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A93">
              <w:rPr>
                <w:rFonts w:ascii="Times New Roman" w:hAnsi="Times New Roman"/>
                <w:sz w:val="24"/>
                <w:szCs w:val="24"/>
              </w:rPr>
              <w:t xml:space="preserve">Дунаев П.Д. Активация FGFR-сигнального пути в гастроинтестинальных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стромальных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опухолях как альтернативный механизм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 xml:space="preserve">резистентности к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таргетному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препарату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иматинибу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мезилату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>ПОВОЛЖСКИЙ ОНКОЛОГИЧЕСКИЙ ФОРУМ, секция "Трансляционная медицина/ Фундаментальная наука в решении практических задач онкологии" 2022, г. Казань (устное выступление)</w:t>
            </w:r>
          </w:p>
          <w:p w:rsidR="00641A93" w:rsidRPr="00641A93" w:rsidRDefault="00641A93" w:rsidP="00641A9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Бикиниева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Ф.Ф. Цитотоксическая и противоопухолевая активность </w:t>
            </w:r>
            <w:proofErr w:type="spellStart"/>
            <w:r w:rsidRPr="00641A93">
              <w:rPr>
                <w:rFonts w:ascii="Times New Roman" w:hAnsi="Times New Roman"/>
                <w:sz w:val="24"/>
                <w:szCs w:val="24"/>
              </w:rPr>
              <w:t>пирроллсодержащих</w:t>
            </w:r>
            <w:proofErr w:type="spellEnd"/>
            <w:r w:rsidRPr="00641A93">
              <w:rPr>
                <w:rFonts w:ascii="Times New Roman" w:hAnsi="Times New Roman"/>
                <w:sz w:val="24"/>
                <w:szCs w:val="24"/>
              </w:rPr>
              <w:t xml:space="preserve"> гетероциклических соединений. </w:t>
            </w:r>
            <w:r>
              <w:t xml:space="preserve"> </w:t>
            </w:r>
            <w:r w:rsidRPr="00641A93">
              <w:rPr>
                <w:rFonts w:ascii="Times New Roman" w:hAnsi="Times New Roman"/>
                <w:sz w:val="24"/>
                <w:szCs w:val="24"/>
              </w:rPr>
              <w:t>ПОВОЛЖСКИЙ ОНКОЛОГИЧЕСКИЙ ФОРУМ, секция "Трансляционная медицина/ Фундаментальная наука в решении практических задач онкологии" 2022, г. Казань (устное выступление)</w:t>
            </w:r>
          </w:p>
          <w:p w:rsidR="00641A93" w:rsidRPr="00641A93" w:rsidRDefault="00641A93" w:rsidP="00641A93">
            <w:pPr>
              <w:pStyle w:val="a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6500F3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1A93" w:rsidRPr="00450B4D" w:rsidTr="00507938">
        <w:trPr>
          <w:trHeight w:val="445"/>
        </w:trPr>
        <w:tc>
          <w:tcPr>
            <w:tcW w:w="3408" w:type="dxa"/>
            <w:vMerge w:val="restart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3408" w:type="dxa"/>
            <w:vMerge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5875E7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641A93" w:rsidRPr="00A143FC" w:rsidRDefault="00641A93" w:rsidP="00641A9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proofErr w:type="spellEnd"/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А.Р.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«</w:t>
            </w:r>
            <w:r w:rsidRPr="00C02BF9">
              <w:rPr>
                <w:rFonts w:ascii="Times New Roman" w:hAnsi="Times New Roman"/>
                <w:sz w:val="24"/>
                <w:szCs w:val="24"/>
              </w:rPr>
              <w:t>Поиск новых молекулярных мишеней в терапии первичных злокачественных опухолей костей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 - РН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 № 20-75-00014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гг.)</w:t>
            </w:r>
          </w:p>
          <w:p w:rsidR="00641A93" w:rsidRPr="00B95AEC" w:rsidRDefault="00641A93" w:rsidP="00641A9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Бойчук С.В., Дунаев П.Д., </w:t>
            </w:r>
            <w:proofErr w:type="spellStart"/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proofErr w:type="spellEnd"/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А.Р.,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Мустафин И.Г., Валеева Е.В., </w:t>
            </w:r>
            <w:r w:rsidRPr="00A143FC">
              <w:rPr>
                <w:rFonts w:ascii="Times New Roman" w:hAnsi="Times New Roman"/>
                <w:sz w:val="24"/>
                <w:szCs w:val="24"/>
              </w:rPr>
              <w:t>Михеева Е.Г.,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43FC">
              <w:rPr>
                <w:rFonts w:ascii="Times New Roman" w:hAnsi="Times New Roman"/>
                <w:b/>
                <w:sz w:val="24"/>
                <w:szCs w:val="24"/>
              </w:rPr>
              <w:t>Бикиниева</w:t>
            </w:r>
            <w:proofErr w:type="spellEnd"/>
            <w:r w:rsidRPr="00A143FC">
              <w:rPr>
                <w:rFonts w:ascii="Times New Roman" w:hAnsi="Times New Roman"/>
                <w:b/>
                <w:sz w:val="24"/>
                <w:szCs w:val="24"/>
              </w:rPr>
              <w:t xml:space="preserve"> Ф.Ф., </w:t>
            </w:r>
            <w:proofErr w:type="spellStart"/>
            <w:r w:rsidRPr="00B95AEC">
              <w:rPr>
                <w:rFonts w:ascii="Times New Roman" w:hAnsi="Times New Roman"/>
                <w:sz w:val="24"/>
                <w:szCs w:val="24"/>
              </w:rPr>
              <w:t>Нургатина</w:t>
            </w:r>
            <w:proofErr w:type="spellEnd"/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B95AEC">
              <w:rPr>
                <w:rFonts w:ascii="Times New Roman" w:hAnsi="Times New Roman"/>
                <w:sz w:val="24"/>
                <w:szCs w:val="24"/>
              </w:rPr>
              <w:t>Аухадиева</w:t>
            </w:r>
            <w:proofErr w:type="spellEnd"/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А.М. «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Противоопухолевая активность 4-пиваоил-2-пирролонов в отношении сарком мягких тканей и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гастроинтестинальных </w:t>
            </w:r>
            <w:proofErr w:type="spellStart"/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стромальных</w:t>
            </w:r>
            <w:proofErr w:type="spellEnd"/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опухолей (ГИСО)» - РНФ № 20-15-00001 (2020-22гг.)</w:t>
            </w:r>
          </w:p>
          <w:p w:rsidR="00641A93" w:rsidRPr="00A143FC" w:rsidRDefault="00641A93" w:rsidP="00641A9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Бойчук С.В., Дунаев П.Д.,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Мустафин И.Г., Валеева Е.В. Изучение роли FGFR-</w:t>
            </w:r>
            <w:proofErr w:type="spellStart"/>
            <w:r w:rsidRPr="00B95AEC">
              <w:rPr>
                <w:rFonts w:ascii="Times New Roman" w:hAnsi="Times New Roman"/>
                <w:sz w:val="24"/>
                <w:szCs w:val="24"/>
              </w:rPr>
              <w:t>cигнального</w:t>
            </w:r>
            <w:proofErr w:type="spellEnd"/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пути в патогенезе и терапии гастроинтестинальных </w:t>
            </w:r>
            <w:proofErr w:type="spellStart"/>
            <w:r w:rsidRPr="00B95AEC">
              <w:rPr>
                <w:rFonts w:ascii="Times New Roman" w:hAnsi="Times New Roman"/>
                <w:sz w:val="24"/>
                <w:szCs w:val="24"/>
              </w:rPr>
              <w:t>стромальных</w:t>
            </w:r>
            <w:proofErr w:type="spellEnd"/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опухолей (ГИСО)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- РФФИ №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20-015-00034 А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(2020-22гг.)</w:t>
            </w:r>
          </w:p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513AAC" w:rsidRDefault="00641A93" w:rsidP="00641A9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641A93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513AA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3256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061640" w:rsidRDefault="00641A93" w:rsidP="00641A9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513AAC" w:rsidRDefault="00641A93" w:rsidP="00641A9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62005C" w:rsidTr="00507938">
        <w:tc>
          <w:tcPr>
            <w:tcW w:w="6048" w:type="dxa"/>
            <w:gridSpan w:val="2"/>
          </w:tcPr>
          <w:p w:rsidR="00641A93" w:rsidRPr="00CD22C1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– редакционная коллегия журнала: "Казанский медицинский журнал" (</w:t>
            </w:r>
            <w:proofErr w:type="spellStart"/>
            <w:r w:rsidRPr="00B95AE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B95A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. – редакционная коллегия журнала: "Успехи молекулярной онкологии" (</w:t>
            </w:r>
            <w:proofErr w:type="spellStart"/>
            <w:r w:rsidRPr="00B95AE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B95A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: "</w:t>
            </w:r>
            <w:r w:rsidRPr="00B95AEC"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Cancer Medicine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(2018-2021гг): " </w:t>
            </w:r>
            <w:r w:rsidRPr="00B95AEC"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Cells, Pharmaceuticals, Current Oncology, Marine Drugs, Cancers, Molecules, Surgeries, International Journal of Molecular Sciences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рецензент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MDPI (Scopus, Web of Science) 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"Dyes and </w:t>
            </w:r>
            <w:proofErr w:type="spellStart"/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Luminophores</w:t>
            </w:r>
            <w:proofErr w:type="spellEnd"/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Biomarkers"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(Scopus, Web of Science) 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1A93" w:rsidRPr="00B95AEC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"Targeting of Signaling Pathways for Cancer Therapy"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(Scopus, Web of Science) 2021</w:t>
            </w:r>
          </w:p>
          <w:p w:rsidR="00641A93" w:rsidRPr="00922716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B23147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641A93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41A93" w:rsidRPr="00095164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Pr="00B657AB" w:rsidRDefault="00641A93" w:rsidP="00641A9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641A93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1523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КФУ.03.07. № 01-03/676 от 14.06.2019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 1 сентября 2019 года сроком на 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Совет по защите в области биологических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03.02.03 - Микробиология (биологические науки), 03.01.04 - Биохимия (биологические науки), 03.02.07 - Генетика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КФУ, Казань,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Член диссертационного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1A93" w:rsidRPr="00450B4D" w:rsidTr="00507938">
        <w:tc>
          <w:tcPr>
            <w:tcW w:w="6048" w:type="dxa"/>
            <w:gridSpan w:val="2"/>
          </w:tcPr>
          <w:p w:rsidR="00641A93" w:rsidRDefault="00641A93" w:rsidP="00641A9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641A93" w:rsidRDefault="00641A93" w:rsidP="00641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B2C" w:rsidRDefault="00015B2C" w:rsidP="00015B2C">
      <w:pPr>
        <w:rPr>
          <w:rFonts w:ascii="Times New Roman" w:hAnsi="Times New Roman"/>
          <w:sz w:val="24"/>
          <w:szCs w:val="24"/>
        </w:rPr>
      </w:pPr>
    </w:p>
    <w:p w:rsidR="00015B2C" w:rsidRPr="00B95AEC" w:rsidRDefault="00015B2C" w:rsidP="00015B2C">
      <w:pPr>
        <w:rPr>
          <w:rFonts w:ascii="Times New Roman" w:hAnsi="Times New Roman"/>
          <w:sz w:val="24"/>
          <w:szCs w:val="24"/>
        </w:rPr>
      </w:pPr>
      <w:r w:rsidRPr="00B95AEC">
        <w:rPr>
          <w:rFonts w:ascii="Times New Roman" w:hAnsi="Times New Roman"/>
          <w:sz w:val="24"/>
          <w:szCs w:val="24"/>
        </w:rPr>
        <w:t>Зав. кафедрой профессор С.В. Бойчук</w:t>
      </w:r>
    </w:p>
    <w:p w:rsidR="00015B2C" w:rsidRPr="00C27755" w:rsidRDefault="00015B2C" w:rsidP="00015B2C">
      <w:pPr>
        <w:rPr>
          <w:rFonts w:ascii="Times New Roman" w:hAnsi="Times New Roman"/>
          <w:sz w:val="24"/>
          <w:szCs w:val="24"/>
        </w:rPr>
      </w:pPr>
      <w:r w:rsidRPr="00B95AEC">
        <w:rPr>
          <w:rFonts w:ascii="Times New Roman" w:hAnsi="Times New Roman"/>
          <w:sz w:val="24"/>
          <w:szCs w:val="24"/>
        </w:rPr>
        <w:t xml:space="preserve">Ответственная за науку ассистент А.Р. </w:t>
      </w:r>
      <w:proofErr w:type="spellStart"/>
      <w:r w:rsidRPr="00B95AEC">
        <w:rPr>
          <w:rFonts w:ascii="Times New Roman" w:hAnsi="Times New Roman"/>
          <w:sz w:val="24"/>
          <w:szCs w:val="24"/>
        </w:rPr>
        <w:t>Галембикова</w:t>
      </w:r>
      <w:proofErr w:type="spellEnd"/>
    </w:p>
    <w:p w:rsidR="00015B2C" w:rsidRDefault="00015B2C" w:rsidP="00015B2C">
      <w:pPr>
        <w:rPr>
          <w:rFonts w:ascii="Times New Roman" w:hAnsi="Times New Roman"/>
          <w:sz w:val="24"/>
          <w:szCs w:val="24"/>
        </w:rPr>
      </w:pPr>
    </w:p>
    <w:p w:rsidR="00015B2C" w:rsidRDefault="00015B2C" w:rsidP="00015B2C">
      <w:pPr>
        <w:rPr>
          <w:rFonts w:ascii="Times New Roman" w:hAnsi="Times New Roman"/>
          <w:sz w:val="24"/>
          <w:szCs w:val="24"/>
        </w:rPr>
      </w:pPr>
    </w:p>
    <w:p w:rsidR="00015B2C" w:rsidRDefault="00015B2C" w:rsidP="00015B2C">
      <w:pPr>
        <w:rPr>
          <w:rFonts w:ascii="Times New Roman" w:hAnsi="Times New Roman"/>
          <w:sz w:val="24"/>
          <w:szCs w:val="24"/>
        </w:rPr>
      </w:pPr>
    </w:p>
    <w:p w:rsidR="00015B2C" w:rsidRDefault="00015B2C" w:rsidP="00015B2C">
      <w:pPr>
        <w:rPr>
          <w:rFonts w:ascii="Times New Roman" w:hAnsi="Times New Roman"/>
          <w:sz w:val="24"/>
          <w:szCs w:val="24"/>
        </w:rPr>
      </w:pPr>
    </w:p>
    <w:p w:rsidR="00015B2C" w:rsidRDefault="00015B2C" w:rsidP="00015B2C">
      <w:pPr>
        <w:rPr>
          <w:rFonts w:ascii="Times New Roman" w:hAnsi="Times New Roman"/>
          <w:sz w:val="24"/>
          <w:szCs w:val="24"/>
        </w:rPr>
      </w:pPr>
    </w:p>
    <w:sectPr w:rsidR="00015B2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39F"/>
    <w:multiLevelType w:val="hybridMultilevel"/>
    <w:tmpl w:val="ACA23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4375F"/>
    <w:multiLevelType w:val="hybridMultilevel"/>
    <w:tmpl w:val="B8F2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D29"/>
    <w:multiLevelType w:val="hybridMultilevel"/>
    <w:tmpl w:val="7FEE4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7E1B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72904"/>
    <w:multiLevelType w:val="hybridMultilevel"/>
    <w:tmpl w:val="7FEE4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D5E2B"/>
    <w:multiLevelType w:val="hybridMultilevel"/>
    <w:tmpl w:val="4FE450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6C3877"/>
    <w:multiLevelType w:val="hybridMultilevel"/>
    <w:tmpl w:val="EB049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5D47"/>
    <w:multiLevelType w:val="hybridMultilevel"/>
    <w:tmpl w:val="7C7C2C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C7D68"/>
    <w:multiLevelType w:val="hybridMultilevel"/>
    <w:tmpl w:val="7FEE4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2C"/>
    <w:rsid w:val="00015B2C"/>
    <w:rsid w:val="0062005C"/>
    <w:rsid w:val="00641A93"/>
    <w:rsid w:val="00662F42"/>
    <w:rsid w:val="007C76B6"/>
    <w:rsid w:val="008C66CB"/>
    <w:rsid w:val="00911091"/>
    <w:rsid w:val="0092020C"/>
    <w:rsid w:val="009D4B79"/>
    <w:rsid w:val="00B749D7"/>
    <w:rsid w:val="00BC3E61"/>
    <w:rsid w:val="00E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CE5A-2EDB-4E89-A4B7-B80171D8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2C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5B2C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015B2C"/>
    <w:rPr>
      <w:i/>
      <w:iCs/>
    </w:rPr>
  </w:style>
  <w:style w:type="paragraph" w:styleId="a5">
    <w:name w:val="List Paragraph"/>
    <w:basedOn w:val="a"/>
    <w:uiPriority w:val="34"/>
    <w:qFormat/>
    <w:rsid w:val="00015B2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C3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4/S00062979220500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2668-022-00991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34/S0006297922050017" TargetMode="External"/><Relationship Id="rId11" Type="http://schemas.openxmlformats.org/officeDocument/2006/relationships/hyperlink" Target="https://doi.org/10.1007/s12668-022-00991-1" TargetMode="External"/><Relationship Id="rId5" Type="http://schemas.openxmlformats.org/officeDocument/2006/relationships/hyperlink" Target="https://doi.org/10.31857/S0320972522040066" TargetMode="External"/><Relationship Id="rId10" Type="http://schemas.openxmlformats.org/officeDocument/2006/relationships/hyperlink" Target="https://doi.org/10.1134/S000629792205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2668-022-00991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2022-06-04T12:52:00Z</dcterms:created>
  <dcterms:modified xsi:type="dcterms:W3CDTF">2022-06-14T10:40:00Z</dcterms:modified>
</cp:coreProperties>
</file>