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BC" w:rsidRPr="00F06972" w:rsidRDefault="00F06972" w:rsidP="00F06972">
      <w:pPr>
        <w:jc w:val="center"/>
        <w:rPr>
          <w:rFonts w:ascii="Times New Roman" w:hAnsi="Times New Roman"/>
          <w:b/>
          <w:sz w:val="24"/>
          <w:szCs w:val="24"/>
        </w:rPr>
      </w:pPr>
      <w:r w:rsidRPr="00B95AEC">
        <w:rPr>
          <w:rFonts w:ascii="Times New Roman" w:hAnsi="Times New Roman"/>
          <w:b/>
          <w:sz w:val="24"/>
          <w:szCs w:val="24"/>
        </w:rPr>
        <w:t>Научный отчет кафедры Общей патологии</w:t>
      </w:r>
      <w:r w:rsidR="002C4F81">
        <w:rPr>
          <w:rFonts w:ascii="Times New Roman" w:hAnsi="Times New Roman"/>
          <w:b/>
          <w:sz w:val="24"/>
          <w:szCs w:val="24"/>
        </w:rPr>
        <w:t xml:space="preserve"> (патофизиология)</w:t>
      </w:r>
      <w:r w:rsidRPr="00B95AEC">
        <w:rPr>
          <w:rFonts w:ascii="Times New Roman" w:hAnsi="Times New Roman"/>
          <w:b/>
          <w:sz w:val="24"/>
          <w:szCs w:val="24"/>
        </w:rPr>
        <w:t xml:space="preserve"> за </w:t>
      </w:r>
      <w:r>
        <w:rPr>
          <w:rFonts w:ascii="Times New Roman" w:hAnsi="Times New Roman"/>
          <w:b/>
          <w:sz w:val="24"/>
          <w:szCs w:val="24"/>
        </w:rPr>
        <w:t>3</w:t>
      </w:r>
      <w:r w:rsidRPr="00B95AEC">
        <w:rPr>
          <w:rFonts w:ascii="Times New Roman" w:hAnsi="Times New Roman"/>
          <w:b/>
          <w:sz w:val="24"/>
          <w:szCs w:val="24"/>
        </w:rPr>
        <w:t xml:space="preserve"> квартал 2021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:rsidTr="00A632A6">
        <w:tc>
          <w:tcPr>
            <w:tcW w:w="3408" w:type="dxa"/>
            <w:vMerge w:val="restart"/>
          </w:tcPr>
          <w:p w:rsidR="00061640" w:rsidRPr="00095164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2270EB" w:rsidRPr="002270EB" w:rsidRDefault="002270EB" w:rsidP="002270EB">
            <w:pPr>
              <w:pStyle w:val="ab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70EB">
              <w:rPr>
                <w:rFonts w:ascii="Times New Roman" w:hAnsi="Times New Roman"/>
                <w:sz w:val="24"/>
                <w:szCs w:val="24"/>
              </w:rPr>
              <w:t>Теплов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270EB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2270EB">
              <w:rPr>
                <w:rFonts w:ascii="Times New Roman" w:hAnsi="Times New Roman"/>
                <w:b/>
                <w:sz w:val="24"/>
                <w:szCs w:val="24"/>
              </w:rPr>
              <w:t>Теплов А. Ю.</w:t>
            </w:r>
            <w:r w:rsidRPr="002270EB">
              <w:rPr>
                <w:rFonts w:ascii="Times New Roman" w:hAnsi="Times New Roman"/>
                <w:sz w:val="24"/>
                <w:szCs w:val="24"/>
              </w:rPr>
              <w:t>, Различия в механизмах лечебного действия обогащенной тромбоцитами плазмы при лечении различных суставов. Справочник врача общей практики №8 2021. 2021;8.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OpenSans-Regular" w:hAnsi="OpenSans-Regular"/>
                <w:color w:val="7E8C9F"/>
                <w:sz w:val="20"/>
                <w:szCs w:val="20"/>
                <w:shd w:val="clear" w:color="auto" w:fill="F8FAFC"/>
              </w:rPr>
              <w:t>DOI:</w:t>
            </w:r>
            <w:hyperlink r:id="rId8" w:history="1">
              <w:r>
                <w:rPr>
                  <w:rStyle w:val="a4"/>
                  <w:rFonts w:ascii="OpenSans-Regular" w:hAnsi="OpenSans-Regular"/>
                  <w:color w:val="3490DC"/>
                  <w:sz w:val="20"/>
                  <w:szCs w:val="20"/>
                  <w:u w:val="none"/>
                  <w:shd w:val="clear" w:color="auto" w:fill="F8FAFC"/>
                </w:rPr>
                <w:t>10.33920/med-10-2108-04</w:t>
              </w:r>
            </w:hyperlink>
          </w:p>
          <w:p w:rsidR="002270EB" w:rsidRPr="002270EB" w:rsidRDefault="002270EB" w:rsidP="002270EB">
            <w:pPr>
              <w:pStyle w:val="ab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A62C17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D746A1" w:rsidRPr="006D3BE3" w:rsidRDefault="00D65A00" w:rsidP="00D746A1">
            <w:pPr>
              <w:pStyle w:val="ab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Galina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Guseva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>,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46A1" w:rsidRPr="006D3BE3">
              <w:rPr>
                <w:rFonts w:ascii="Times New Roman" w:hAnsi="Times New Roman"/>
                <w:sz w:val="24"/>
                <w:szCs w:val="24"/>
                <w:lang w:val="en-US"/>
              </w:rPr>
              <w:t>Elena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46A1" w:rsidRPr="006D3BE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746A1" w:rsidRPr="006D3BE3">
              <w:rPr>
                <w:rFonts w:ascii="Times New Roman" w:hAnsi="Times New Roman"/>
                <w:sz w:val="24"/>
                <w:szCs w:val="24"/>
                <w:lang w:val="en-US"/>
              </w:rPr>
              <w:t>Antina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746A1" w:rsidRPr="006D3BE3">
              <w:rPr>
                <w:rFonts w:ascii="Times New Roman" w:hAnsi="Times New Roman"/>
                <w:sz w:val="24"/>
                <w:szCs w:val="24"/>
                <w:lang w:val="en-US"/>
              </w:rPr>
              <w:t>Mikhail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46A1" w:rsidRPr="006D3BE3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746A1" w:rsidRPr="006D3BE3">
              <w:rPr>
                <w:rFonts w:ascii="Times New Roman" w:hAnsi="Times New Roman"/>
                <w:sz w:val="24"/>
                <w:szCs w:val="24"/>
                <w:lang w:val="en-US"/>
              </w:rPr>
              <w:t>Berezin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746A1" w:rsidRPr="006D3BE3">
              <w:rPr>
                <w:rFonts w:ascii="Times New Roman" w:hAnsi="Times New Roman"/>
                <w:sz w:val="24"/>
                <w:szCs w:val="24"/>
                <w:lang w:val="en-US"/>
              </w:rPr>
              <w:t>Roman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46A1" w:rsidRPr="006D3BE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746A1" w:rsidRPr="006D3BE3">
              <w:rPr>
                <w:rFonts w:ascii="Times New Roman" w:hAnsi="Times New Roman"/>
                <w:sz w:val="24"/>
                <w:szCs w:val="24"/>
                <w:lang w:val="en-US"/>
              </w:rPr>
              <w:t>Pavelyev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746A1" w:rsidRPr="006D3BE3">
              <w:rPr>
                <w:rFonts w:ascii="Times New Roman" w:hAnsi="Times New Roman"/>
                <w:sz w:val="24"/>
                <w:szCs w:val="24"/>
                <w:lang w:val="en-US"/>
              </w:rPr>
              <w:t>Airat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46A1" w:rsidRPr="006D3BE3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746A1" w:rsidRPr="006D3BE3">
              <w:rPr>
                <w:rFonts w:ascii="Times New Roman" w:hAnsi="Times New Roman"/>
                <w:sz w:val="24"/>
                <w:szCs w:val="24"/>
                <w:lang w:val="en-US"/>
              </w:rPr>
              <w:t>Kayumov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746A1" w:rsidRPr="006D3BE3">
              <w:rPr>
                <w:rFonts w:ascii="Times New Roman" w:hAnsi="Times New Roman"/>
                <w:sz w:val="24"/>
                <w:szCs w:val="24"/>
                <w:lang w:val="en-US"/>
              </w:rPr>
              <w:t>Olga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46A1" w:rsidRPr="006D3BE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746A1" w:rsidRPr="006D3BE3">
              <w:rPr>
                <w:rFonts w:ascii="Times New Roman" w:hAnsi="Times New Roman"/>
                <w:sz w:val="24"/>
                <w:szCs w:val="24"/>
                <w:lang w:val="en-US"/>
              </w:rPr>
              <w:t>Ostolopovskaya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746A1" w:rsidRPr="006D3BE3">
              <w:rPr>
                <w:rFonts w:ascii="Times New Roman" w:hAnsi="Times New Roman"/>
                <w:sz w:val="24"/>
                <w:szCs w:val="24"/>
                <w:lang w:val="en-US"/>
              </w:rPr>
              <w:t>Ilmir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46A1" w:rsidRPr="006D3BE3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746A1" w:rsidRPr="006D3BE3">
              <w:rPr>
                <w:rFonts w:ascii="Times New Roman" w:hAnsi="Times New Roman"/>
                <w:sz w:val="24"/>
                <w:szCs w:val="24"/>
                <w:lang w:val="en-US"/>
              </w:rPr>
              <w:t>Gilfanov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746A1" w:rsidRPr="006D3BE3">
              <w:rPr>
                <w:rFonts w:ascii="Times New Roman" w:hAnsi="Times New Roman"/>
                <w:sz w:val="24"/>
                <w:szCs w:val="24"/>
                <w:lang w:val="en-US"/>
              </w:rPr>
              <w:t>Larisa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46A1" w:rsidRPr="006D3BE3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746A1" w:rsidRPr="006D3BE3">
              <w:rPr>
                <w:rFonts w:ascii="Times New Roman" w:hAnsi="Times New Roman"/>
                <w:sz w:val="24"/>
                <w:szCs w:val="24"/>
                <w:lang w:val="en-US"/>
              </w:rPr>
              <w:t>Frolova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746A1" w:rsidRPr="006D3BE3">
              <w:rPr>
                <w:rFonts w:ascii="Times New Roman" w:hAnsi="Times New Roman"/>
                <w:sz w:val="24"/>
                <w:szCs w:val="24"/>
                <w:lang w:val="en-US"/>
              </w:rPr>
              <w:t>Alexander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46A1" w:rsidRPr="006D3BE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746A1" w:rsidRPr="006D3BE3">
              <w:rPr>
                <w:rFonts w:ascii="Times New Roman" w:hAnsi="Times New Roman"/>
                <w:sz w:val="24"/>
                <w:szCs w:val="24"/>
                <w:lang w:val="en-US"/>
              </w:rPr>
              <w:t>Kutchin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746A1" w:rsidRPr="006D3BE3">
              <w:rPr>
                <w:rFonts w:ascii="Times New Roman" w:hAnsi="Times New Roman"/>
                <w:sz w:val="24"/>
                <w:szCs w:val="24"/>
                <w:lang w:val="en-US"/>
              </w:rPr>
              <w:t>Rustem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46A1" w:rsidRPr="006D3BE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746A1" w:rsidRPr="006D3BE3">
              <w:rPr>
                <w:rFonts w:ascii="Times New Roman" w:hAnsi="Times New Roman"/>
                <w:sz w:val="24"/>
                <w:szCs w:val="24"/>
                <w:lang w:val="en-US"/>
              </w:rPr>
              <w:t>Akhverdiev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746A1" w:rsidRPr="006D3BE3">
              <w:rPr>
                <w:rFonts w:ascii="Times New Roman" w:hAnsi="Times New Roman"/>
                <w:sz w:val="24"/>
                <w:szCs w:val="24"/>
                <w:lang w:val="en-US"/>
              </w:rPr>
              <w:t>Svetlana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46A1" w:rsidRPr="006D3BE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746A1" w:rsidRPr="006D3BE3">
              <w:rPr>
                <w:rFonts w:ascii="Times New Roman" w:hAnsi="Times New Roman"/>
                <w:sz w:val="24"/>
                <w:szCs w:val="24"/>
                <w:lang w:val="en-US"/>
              </w:rPr>
              <w:t>Lisovskaya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746A1" w:rsidRPr="006D3BE3">
              <w:rPr>
                <w:rFonts w:ascii="Times New Roman" w:hAnsi="Times New Roman"/>
                <w:sz w:val="24"/>
                <w:szCs w:val="24"/>
                <w:lang w:val="en-US"/>
              </w:rPr>
              <w:t>Elena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46A1" w:rsidRPr="006D3BE3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746A1" w:rsidRPr="006D3BE3">
              <w:rPr>
                <w:rFonts w:ascii="Times New Roman" w:hAnsi="Times New Roman"/>
                <w:sz w:val="24"/>
                <w:szCs w:val="24"/>
                <w:lang w:val="en-US"/>
              </w:rPr>
              <w:t>Trizna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746A1" w:rsidRPr="006D3BE3">
              <w:rPr>
                <w:rFonts w:ascii="Times New Roman" w:hAnsi="Times New Roman"/>
                <w:sz w:val="24"/>
                <w:szCs w:val="24"/>
                <w:lang w:val="en-US"/>
              </w:rPr>
              <w:t>Olga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46A1" w:rsidRPr="006D3BE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746A1" w:rsidRPr="006D3BE3">
              <w:rPr>
                <w:rFonts w:ascii="Times New Roman" w:hAnsi="Times New Roman"/>
                <w:sz w:val="24"/>
                <w:szCs w:val="24"/>
                <w:lang w:val="en-US"/>
              </w:rPr>
              <w:t>Lodochnikova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746A1" w:rsidRPr="006D3BE3">
              <w:rPr>
                <w:rFonts w:ascii="Times New Roman" w:hAnsi="Times New Roman"/>
                <w:sz w:val="24"/>
                <w:szCs w:val="24"/>
                <w:lang w:val="en-US"/>
              </w:rPr>
              <w:t>Daut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46A1" w:rsidRPr="006D3BE3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746A1" w:rsidRPr="006D3BE3">
              <w:rPr>
                <w:rFonts w:ascii="Times New Roman" w:hAnsi="Times New Roman"/>
                <w:sz w:val="24"/>
                <w:szCs w:val="24"/>
                <w:lang w:val="en-US"/>
              </w:rPr>
              <w:t>Islamov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746A1" w:rsidRPr="006D3BE3">
              <w:rPr>
                <w:rFonts w:ascii="Times New Roman" w:hAnsi="Times New Roman"/>
                <w:sz w:val="24"/>
                <w:szCs w:val="24"/>
                <w:lang w:val="en-US"/>
              </w:rPr>
              <w:t>Sergey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46A1" w:rsidRPr="006D3BE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746A1" w:rsidRPr="006D3BE3">
              <w:rPr>
                <w:rFonts w:ascii="Times New Roman" w:hAnsi="Times New Roman"/>
                <w:sz w:val="24"/>
                <w:szCs w:val="24"/>
                <w:lang w:val="en-US"/>
              </w:rPr>
              <w:t>Efimov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746A1" w:rsidRPr="006D3BE3">
              <w:rPr>
                <w:rFonts w:ascii="Times New Roman" w:hAnsi="Times New Roman"/>
                <w:sz w:val="24"/>
                <w:szCs w:val="24"/>
                <w:lang w:val="en-US"/>
              </w:rPr>
              <w:t>Vladimir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46A1" w:rsidRPr="006D3BE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746A1" w:rsidRPr="006D3BE3">
              <w:rPr>
                <w:rFonts w:ascii="Times New Roman" w:hAnsi="Times New Roman"/>
                <w:sz w:val="24"/>
                <w:szCs w:val="24"/>
                <w:lang w:val="en-US"/>
              </w:rPr>
              <w:t>Klochkov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746A1" w:rsidRPr="006D3BE3">
              <w:rPr>
                <w:rFonts w:ascii="Times New Roman" w:hAnsi="Times New Roman"/>
                <w:sz w:val="24"/>
                <w:szCs w:val="24"/>
                <w:lang w:val="en-US"/>
              </w:rPr>
              <w:t>Ilya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46A1" w:rsidRPr="006D3BE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746A1" w:rsidRPr="006D3BE3">
              <w:rPr>
                <w:rFonts w:ascii="Times New Roman" w:hAnsi="Times New Roman"/>
                <w:sz w:val="24"/>
                <w:szCs w:val="24"/>
                <w:lang w:val="en-US"/>
              </w:rPr>
              <w:t>Khodov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746A1" w:rsidRPr="00D746A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Sergei</w:t>
            </w:r>
            <w:r w:rsidR="00D746A1" w:rsidRPr="003F00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746A1" w:rsidRPr="00D746A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="00D746A1" w:rsidRPr="003F006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D746A1" w:rsidRPr="00D746A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Boichuk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746A1" w:rsidRPr="006D3BE3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46A1" w:rsidRPr="006D3BE3">
              <w:rPr>
                <w:rFonts w:ascii="Times New Roman" w:hAnsi="Times New Roman"/>
                <w:sz w:val="24"/>
                <w:szCs w:val="24"/>
                <w:lang w:val="en-US"/>
              </w:rPr>
              <w:t>Liliya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46A1" w:rsidRPr="006D3BE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746A1" w:rsidRPr="006D3BE3">
              <w:rPr>
                <w:rFonts w:ascii="Times New Roman" w:hAnsi="Times New Roman"/>
                <w:sz w:val="24"/>
                <w:szCs w:val="24"/>
                <w:lang w:val="en-US"/>
              </w:rPr>
              <w:t>Nikitina</w:t>
            </w:r>
            <w:r w:rsidR="00D746A1"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D3BE3" w:rsidRPr="006D3BE3">
              <w:rPr>
                <w:rFonts w:ascii="Times New Roman" w:hAnsi="Times New Roman"/>
                <w:sz w:val="24"/>
                <w:szCs w:val="24"/>
                <w:lang w:val="en-US"/>
              </w:rPr>
              <w:t>Design, Spectral Characteristics, and Possibilities for Practical Application of BODIPY FL-Labeled Monoterpenoid</w:t>
            </w:r>
            <w:r w:rsidR="00D746A1" w:rsidRPr="00D746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//</w:t>
            </w:r>
            <w:r w:rsidR="00D746A1">
              <w:rPr>
                <w:lang w:val="en-US"/>
              </w:rPr>
              <w:t xml:space="preserve"> </w:t>
            </w:r>
            <w:r w:rsidR="00D746A1" w:rsidRPr="00D746A1">
              <w:rPr>
                <w:rFonts w:ascii="Times New Roman" w:hAnsi="Times New Roman"/>
                <w:sz w:val="24"/>
                <w:szCs w:val="24"/>
                <w:lang w:val="en-US"/>
              </w:rPr>
              <w:t>ACS Appl. Bio Mater. 2021, 4, 8, 6227–6235</w:t>
            </w:r>
          </w:p>
          <w:p w:rsidR="00D746A1" w:rsidRDefault="00AB635A" w:rsidP="00D746A1">
            <w:pPr>
              <w:pStyle w:val="ab"/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r w:rsidR="00D746A1" w:rsidRPr="00335D0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https://doi.org/10.1021/acsabm.1c00550</w:t>
              </w:r>
            </w:hyperlink>
          </w:p>
          <w:p w:rsidR="00D746A1" w:rsidRDefault="00A62C17" w:rsidP="00A62C17">
            <w:pPr>
              <w:pStyle w:val="ab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2C1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A. Galembikova, S. Boichuk</w:t>
            </w:r>
            <w:r w:rsidRPr="00A62C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A62C17">
              <w:rPr>
                <w:lang w:val="en-US"/>
              </w:rPr>
              <w:t xml:space="preserve"> </w:t>
            </w:r>
            <w:r w:rsidRPr="00A62C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Targeting of AKT‑Signaling Pathway Potentiates the Anti‑cancer Efcacy of Doxorubicin in A673 Ewing Sarcoma Cell Line // BioNanoSci. (2021). </w:t>
            </w:r>
            <w:hyperlink r:id="rId10" w:history="1">
              <w:r w:rsidRPr="00335D0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https://doi.org/10.1007/s12668-021-00901-x</w:t>
              </w:r>
            </w:hyperlink>
          </w:p>
          <w:p w:rsidR="00A62C17" w:rsidRPr="00A62C17" w:rsidRDefault="00A62C17" w:rsidP="00A62C17">
            <w:pPr>
              <w:pStyle w:val="ab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61640" w:rsidRPr="00A62C17" w:rsidRDefault="00061640" w:rsidP="00D746A1">
            <w:pPr>
              <w:spacing w:after="0"/>
              <w:ind w:left="36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A62C17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2C17">
              <w:rPr>
                <w:rFonts w:ascii="Times New Roman" w:hAnsi="Times New Roman"/>
                <w:sz w:val="24"/>
                <w:szCs w:val="24"/>
              </w:rPr>
              <w:t xml:space="preserve">Статьи 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Default="00CE216E" w:rsidP="003F0065">
            <w:pPr>
              <w:pStyle w:val="ab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216E">
              <w:rPr>
                <w:rFonts w:ascii="Times New Roman" w:hAnsi="Times New Roman"/>
                <w:sz w:val="24"/>
                <w:szCs w:val="24"/>
              </w:rPr>
              <w:t xml:space="preserve">Тимербулатова Г.А., </w:t>
            </w:r>
            <w:r w:rsidRPr="00CE216E">
              <w:rPr>
                <w:rFonts w:ascii="Times New Roman" w:hAnsi="Times New Roman"/>
                <w:b/>
                <w:sz w:val="24"/>
                <w:szCs w:val="24"/>
              </w:rPr>
              <w:t>Дунаев П.Д</w:t>
            </w:r>
            <w:r w:rsidRPr="00CE216E">
              <w:rPr>
                <w:rFonts w:ascii="Times New Roman" w:hAnsi="Times New Roman"/>
                <w:sz w:val="24"/>
                <w:szCs w:val="24"/>
              </w:rPr>
              <w:t xml:space="preserve">., Димиев А.М., Габидинова Г.Ф., Хаертдинов Н.Н., Фахруллин Р.Ф., </w:t>
            </w:r>
            <w:r w:rsidRPr="00CE216E">
              <w:rPr>
                <w:rFonts w:ascii="Times New Roman" w:hAnsi="Times New Roman"/>
                <w:b/>
                <w:sz w:val="24"/>
                <w:szCs w:val="24"/>
              </w:rPr>
              <w:t>Бойчук С.В.,</w:t>
            </w:r>
            <w:r w:rsidRPr="00CE216E">
              <w:rPr>
                <w:rFonts w:ascii="Times New Roman" w:hAnsi="Times New Roman"/>
                <w:sz w:val="24"/>
                <w:szCs w:val="24"/>
              </w:rPr>
              <w:t xml:space="preserve"> Фатхутдинова Л.М. Сравнительная характеристика различных волокнистых материалов в экспериментах in vitro// Казанский медицинский журнал. – 2021. - №4. – С. 501-509. DOI: </w:t>
            </w:r>
            <w:hyperlink r:id="rId11" w:history="1">
              <w:r w:rsidRPr="00335D0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https://doi.org/10.17816/KMJ2021-501</w:t>
              </w:r>
            </w:hyperlink>
          </w:p>
          <w:p w:rsidR="003F0065" w:rsidRPr="006D3BE3" w:rsidRDefault="003F0065" w:rsidP="003F0065">
            <w:pPr>
              <w:pStyle w:val="ab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Galina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Guseva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Elena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Antina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Mikhail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Berezin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Roman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Pavelyev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Airat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Kayumov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Olga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Ostolopovskaya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Ilmir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Gilfanov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Larisa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Frolova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Alexander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Kutchin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Rustem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Akhverdiev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Svetlana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Lisovskaya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Elena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Trizna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Olga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Lodochnikova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Daut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Islamov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Sergey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Efimov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Vladimir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Klochkov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Ilya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Khodov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746A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Sergei</w:t>
            </w:r>
            <w:r w:rsidRPr="003F00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746A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3F006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D746A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Boichuk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Liliya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Nikitina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Design, Spectral Characteristics, and Possibilities for Practical Application of BODIPY FL-Labeled Monoterpenoid</w:t>
            </w:r>
            <w:r w:rsidRPr="00D746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//</w:t>
            </w:r>
            <w:r>
              <w:rPr>
                <w:lang w:val="en-US"/>
              </w:rPr>
              <w:t xml:space="preserve"> </w:t>
            </w:r>
            <w:r w:rsidRPr="00D746A1">
              <w:rPr>
                <w:rFonts w:ascii="Times New Roman" w:hAnsi="Times New Roman"/>
                <w:sz w:val="24"/>
                <w:szCs w:val="24"/>
                <w:lang w:val="en-US"/>
              </w:rPr>
              <w:t>ACS Appl. Bio Mater. 2021, 4, 8, 6227–6235</w:t>
            </w:r>
          </w:p>
          <w:p w:rsidR="003F0065" w:rsidRDefault="00AB635A" w:rsidP="003F0065">
            <w:pPr>
              <w:pStyle w:val="ab"/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2" w:history="1">
              <w:r w:rsidR="003F0065" w:rsidRPr="00335D0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https://doi.org/10.1021/acsabm.1c00550</w:t>
              </w:r>
            </w:hyperlink>
          </w:p>
          <w:p w:rsidR="003F0065" w:rsidRDefault="003F0065" w:rsidP="003F0065">
            <w:pPr>
              <w:pStyle w:val="ab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2C1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A. Galembikova, S. Boichuk</w:t>
            </w:r>
            <w:r w:rsidRPr="00A62C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A62C17">
              <w:rPr>
                <w:lang w:val="en-US"/>
              </w:rPr>
              <w:t xml:space="preserve"> </w:t>
            </w:r>
            <w:r w:rsidRPr="00A62C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Targeting of AKT‑Signaling Pathway Potentiates the Anti‑cancer Efcacy of Doxorubicin in A673 Ewing Sarcoma Cell Line // BioNanoSci. (2021). </w:t>
            </w:r>
            <w:hyperlink r:id="rId13" w:history="1">
              <w:r w:rsidRPr="00335D0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https://doi.org/10.1007/s12668-021-00901-x</w:t>
              </w:r>
            </w:hyperlink>
          </w:p>
          <w:p w:rsidR="00CE216E" w:rsidRPr="00CE216E" w:rsidRDefault="00CE216E" w:rsidP="003F0065">
            <w:pPr>
              <w:pStyle w:val="ab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3F0065" w:rsidRPr="006D3BE3" w:rsidRDefault="003F0065" w:rsidP="003F0065">
            <w:pPr>
              <w:pStyle w:val="ab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Galina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Guseva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Elena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Antina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Mikhail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Berezin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Roman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Pavelyev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Airat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Kayumov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Olga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Ostolopovskaya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Ilmir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Gilfanov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Larisa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Frolova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Alexander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Kutchin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Rustem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Akhverdiev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Svetlana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Lisovskaya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Elena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Trizna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Olga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Lodochnikova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Daut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Islamov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Sergey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Efimov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Vladimir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Klochkov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Ilya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Khodov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746A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Sergei</w:t>
            </w:r>
            <w:r w:rsidRPr="003F00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746A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3F006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D746A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Boichuk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Liliya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Nikitina</w:t>
            </w:r>
            <w:r w:rsidRPr="003F00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D3BE3">
              <w:rPr>
                <w:rFonts w:ascii="Times New Roman" w:hAnsi="Times New Roman"/>
                <w:sz w:val="24"/>
                <w:szCs w:val="24"/>
                <w:lang w:val="en-US"/>
              </w:rPr>
              <w:t>Design, Spectral Characteristics, and Possibilities for Practical Application of BODIPY FL-Labeled Monoterpenoid</w:t>
            </w:r>
            <w:r w:rsidRPr="00D746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//</w:t>
            </w:r>
            <w:r>
              <w:rPr>
                <w:lang w:val="en-US"/>
              </w:rPr>
              <w:t xml:space="preserve"> </w:t>
            </w:r>
            <w:r w:rsidRPr="00D746A1">
              <w:rPr>
                <w:rFonts w:ascii="Times New Roman" w:hAnsi="Times New Roman"/>
                <w:sz w:val="24"/>
                <w:szCs w:val="24"/>
                <w:lang w:val="en-US"/>
              </w:rPr>
              <w:t>ACS Appl. Bio Mater. 2021, 4, 8, 6227–6235</w:t>
            </w:r>
          </w:p>
          <w:p w:rsidR="00061640" w:rsidRDefault="00AB635A" w:rsidP="003F0065">
            <w:pPr>
              <w:pStyle w:val="ab"/>
              <w:spacing w:after="0"/>
              <w:ind w:firstLine="0"/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</w:pPr>
            <w:hyperlink r:id="rId14" w:history="1">
              <w:r w:rsidR="003F0065" w:rsidRPr="00335D0B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https://doi.org/10.1021/acsabm.1c00550</w:t>
              </w:r>
            </w:hyperlink>
          </w:p>
          <w:p w:rsidR="00C47945" w:rsidRPr="00C47945" w:rsidRDefault="00C47945" w:rsidP="00C4794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2)</w:t>
            </w:r>
          </w:p>
          <w:p w:rsidR="00C47945" w:rsidRPr="003F0065" w:rsidRDefault="00C47945" w:rsidP="003F0065">
            <w:pPr>
              <w:pStyle w:val="ab"/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2C4F81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D31F1D" w:rsidRDefault="00D31F1D" w:rsidP="009E75D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3041">
              <w:rPr>
                <w:rFonts w:ascii="Times New Roman" w:hAnsi="Times New Roman"/>
                <w:sz w:val="24"/>
                <w:szCs w:val="24"/>
                <w:lang w:val="en-US"/>
              </w:rPr>
              <w:t>E.</w:t>
            </w:r>
            <w:r w:rsidRPr="00D31F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D31F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Mikheeva, A. Aukhadieva, A. Sabirov, R. Kurtasanov, D. Khalikov, S. Petrov, </w:t>
            </w:r>
            <w:r w:rsidR="00E3304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S. Boichuk.</w:t>
            </w:r>
            <w:r w:rsidR="00E33041" w:rsidRPr="00D31F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D31F1D">
              <w:rPr>
                <w:rFonts w:ascii="Times New Roman" w:hAnsi="Times New Roman"/>
                <w:sz w:val="24"/>
                <w:szCs w:val="24"/>
                <w:lang w:val="en-US"/>
              </w:rPr>
              <w:t>Activation of FGF-signaling in gastrointestinal stromal tumors (GIST) – the perspective prognostic factor of resistance to Gleevec // Eur. J. Clin. Invest. Volume 51, Issue S1. Special Issue:55TH ANNUAL SCIENTIFIC MEETING – Online Event, June 9th – 11th, 2021</w:t>
            </w:r>
          </w:p>
          <w:p w:rsidR="00D31F1D" w:rsidRDefault="00D31F1D" w:rsidP="00D31F1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1F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S. Boichuk, A.</w:t>
            </w:r>
            <w:r w:rsidRPr="00D31F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1F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Galembikova, P. Dunaev</w:t>
            </w:r>
            <w:r w:rsidRPr="00D31F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K. Syuzov, </w:t>
            </w:r>
            <w:r w:rsidRPr="00D31F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F. Bikinieva</w:t>
            </w:r>
            <w:r w:rsidRPr="00D31F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A. Aukhadiava, </w:t>
            </w:r>
            <w:r w:rsidRPr="00D31F1D">
              <w:rPr>
                <w:rFonts w:ascii="Times New Roman" w:hAnsi="Times New Roman"/>
                <w:sz w:val="24"/>
                <w:szCs w:val="24"/>
                <w:lang w:val="sv-SE"/>
              </w:rPr>
              <w:t>N. Igidov, S. Zykova, A.</w:t>
            </w:r>
            <w:r w:rsidRPr="00D31F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1F1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Ksenofontov, P. Bocharov. 2-amino-pyrrole-carboxamides - potent microtubule-targeting agents exhibiting activity against a broad spectrum of solid tumors // Eur. J. Clin. Invest. Volume 51, Issue S1. Special Issue:55TH ANNUAL SCIENTIFIC MEETING – Online Event, June 9th – 11th, 2021</w:t>
            </w:r>
          </w:p>
          <w:p w:rsidR="00D31F1D" w:rsidRDefault="00E33041" w:rsidP="00D31F1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A.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Galembikova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  <w:r w:rsidR="00182E50" w:rsidRPr="00182E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182E50" w:rsidRPr="00D31F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F. Bikinieva</w:t>
            </w:r>
            <w:r w:rsidR="00182E50" w:rsidRPr="00D31F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S. Boichuk.</w:t>
            </w:r>
            <w:r w:rsidR="00D31F1D"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D31F1D"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MK2206, an AKT-inhibitor, sensitizes osteosarcoma cell lines to topoisomerase II inhibitors // </w:t>
            </w:r>
            <w:r w:rsidR="00D31F1D" w:rsidRPr="00D31F1D">
              <w:rPr>
                <w:rFonts w:ascii="Times New Roman" w:hAnsi="Times New Roman"/>
                <w:sz w:val="24"/>
                <w:szCs w:val="24"/>
                <w:lang w:val="en-US"/>
              </w:rPr>
              <w:t>Eur. J. Clin. Invest. Volume 51, Issue S1. Special Issue:55TH ANNUAL SCIENTIFIC MEETING – Online Event, June 9th – 11th, 2021</w:t>
            </w:r>
          </w:p>
          <w:p w:rsidR="00061640" w:rsidRPr="00D31F1D" w:rsidRDefault="00061640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E216E" w:rsidRPr="00450B4D" w:rsidTr="00A632A6">
        <w:tc>
          <w:tcPr>
            <w:tcW w:w="6048" w:type="dxa"/>
            <w:gridSpan w:val="2"/>
          </w:tcPr>
          <w:p w:rsidR="00CE216E" w:rsidRPr="00A632A6" w:rsidRDefault="00CE216E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2021 года </w:t>
            </w:r>
          </w:p>
        </w:tc>
        <w:tc>
          <w:tcPr>
            <w:tcW w:w="4940" w:type="dxa"/>
          </w:tcPr>
          <w:p w:rsidR="00CE216E" w:rsidRPr="00CE216E" w:rsidRDefault="00CE216E" w:rsidP="00CE216E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216E">
              <w:rPr>
                <w:rFonts w:ascii="Times New Roman" w:hAnsi="Times New Roman"/>
                <w:b/>
                <w:sz w:val="24"/>
                <w:szCs w:val="24"/>
              </w:rPr>
              <w:t>Бойчук С.В.</w:t>
            </w:r>
            <w:r w:rsidRPr="00CE216E">
              <w:rPr>
                <w:rFonts w:ascii="Times New Roman" w:hAnsi="Times New Roman"/>
                <w:sz w:val="24"/>
                <w:szCs w:val="24"/>
              </w:rPr>
              <w:t xml:space="preserve"> Молекулярно-биологические механизмы резистентности злокачественных опухолей// Российская конференция с международным участием «Онкология 21 века – инновации медицинской науки в практическом здравоохранении» - 2021, г. Казань – устный доклад</w:t>
            </w:r>
          </w:p>
          <w:p w:rsidR="00CE216E" w:rsidRPr="00CE216E" w:rsidRDefault="00CE216E" w:rsidP="00CE216E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216E">
              <w:rPr>
                <w:rFonts w:ascii="Times New Roman" w:hAnsi="Times New Roman"/>
                <w:b/>
                <w:sz w:val="24"/>
                <w:szCs w:val="24"/>
              </w:rPr>
              <w:t>Дунаев П.Д.</w:t>
            </w:r>
            <w:r w:rsidRPr="00CE216E">
              <w:rPr>
                <w:rFonts w:ascii="Times New Roman" w:hAnsi="Times New Roman"/>
                <w:sz w:val="24"/>
                <w:szCs w:val="24"/>
              </w:rPr>
              <w:t xml:space="preserve"> Активация FGFR-сигнального пути гастроинтестинальных стромальных опухолей – новый механизм резистентности к иматинибу мезилату// Российская конференция с международным участием «Онкология 21 века – инновации медицинской науки в практическом здравоохранении» - 2021, г. Казань – устный доклад</w:t>
            </w:r>
          </w:p>
          <w:p w:rsidR="00CE216E" w:rsidRPr="00067015" w:rsidRDefault="00CE216E" w:rsidP="00067015">
            <w:pPr>
              <w:pStyle w:val="ab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015">
              <w:rPr>
                <w:rFonts w:ascii="Times New Roman" w:hAnsi="Times New Roman"/>
                <w:b/>
                <w:sz w:val="24"/>
                <w:szCs w:val="24"/>
              </w:rPr>
              <w:t>Галембикова А.Р.</w:t>
            </w:r>
            <w:r w:rsidRPr="00067015">
              <w:rPr>
                <w:rFonts w:ascii="Times New Roman" w:hAnsi="Times New Roman"/>
                <w:sz w:val="24"/>
                <w:szCs w:val="24"/>
              </w:rPr>
              <w:t xml:space="preserve"> Новые молекулярные механизмы сенситизации солидных опухолей к ингибиторам типоизомеразы II типа// Российская конференция с международным участием «Онкология 21 века – инновации медицинской науки в практическом здравоохранении» - 2021, г. Казань – устный доклад</w:t>
            </w:r>
          </w:p>
        </w:tc>
      </w:tr>
      <w:tr w:rsidR="00CE216E" w:rsidRPr="00450B4D" w:rsidTr="00A632A6">
        <w:tc>
          <w:tcPr>
            <w:tcW w:w="6048" w:type="dxa"/>
            <w:gridSpan w:val="2"/>
          </w:tcPr>
          <w:p w:rsidR="00CE216E" w:rsidRPr="006500F3" w:rsidRDefault="00CE216E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 и сборник тезисов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2021г.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CE216E" w:rsidRPr="00095164" w:rsidRDefault="00CE216E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E216E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CE216E" w:rsidRPr="00095164" w:rsidRDefault="00CE216E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с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предоставлением автореферата (оригинала)</w:t>
            </w:r>
          </w:p>
        </w:tc>
        <w:tc>
          <w:tcPr>
            <w:tcW w:w="2640" w:type="dxa"/>
          </w:tcPr>
          <w:p w:rsidR="00CE216E" w:rsidRPr="00095164" w:rsidRDefault="00CE216E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кандидатские</w:t>
            </w:r>
          </w:p>
        </w:tc>
        <w:tc>
          <w:tcPr>
            <w:tcW w:w="4940" w:type="dxa"/>
          </w:tcPr>
          <w:p w:rsidR="00CE216E" w:rsidRPr="00095164" w:rsidRDefault="00CE216E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6E" w:rsidRPr="00450B4D" w:rsidTr="00A632A6">
        <w:tc>
          <w:tcPr>
            <w:tcW w:w="3408" w:type="dxa"/>
            <w:vMerge/>
          </w:tcPr>
          <w:p w:rsidR="00CE216E" w:rsidRPr="00095164" w:rsidRDefault="00CE216E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CE216E" w:rsidRPr="00095164" w:rsidRDefault="00CE216E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CE216E" w:rsidRPr="00095164" w:rsidRDefault="00CE216E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6E" w:rsidRPr="00450B4D" w:rsidTr="00A632A6">
        <w:tc>
          <w:tcPr>
            <w:tcW w:w="6048" w:type="dxa"/>
            <w:gridSpan w:val="2"/>
          </w:tcPr>
          <w:p w:rsidR="00CE216E" w:rsidRPr="005875E7" w:rsidRDefault="00CE216E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CE216E" w:rsidRPr="00A143FC" w:rsidRDefault="00CE216E" w:rsidP="00CE216E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Галембикова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А.Р.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«</w:t>
            </w:r>
            <w:r w:rsidRPr="00C02BF9">
              <w:rPr>
                <w:rFonts w:ascii="Times New Roman" w:hAnsi="Times New Roman"/>
                <w:sz w:val="24"/>
                <w:szCs w:val="24"/>
              </w:rPr>
              <w:t>Поиск новых молекулярных мишеней в терапии первичных злокачественных опухолей костей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» - РН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Ф № 20-75-00014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(202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1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3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гг.)</w:t>
            </w:r>
          </w:p>
          <w:p w:rsidR="00A143FC" w:rsidRPr="00B95AEC" w:rsidRDefault="00A143FC" w:rsidP="00A143FC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Бойчук С.В., Дунаев П.Д., Галембикова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А.Р.,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 xml:space="preserve"> Мустафин И.Г., Валеева Е.В., </w:t>
            </w:r>
            <w:r w:rsidRPr="00A143FC">
              <w:rPr>
                <w:rFonts w:ascii="Times New Roman" w:hAnsi="Times New Roman"/>
                <w:sz w:val="24"/>
                <w:szCs w:val="24"/>
              </w:rPr>
              <w:t>Михеева Е.Г.,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43FC">
              <w:rPr>
                <w:rFonts w:ascii="Times New Roman" w:hAnsi="Times New Roman"/>
                <w:b/>
                <w:sz w:val="24"/>
                <w:szCs w:val="24"/>
              </w:rPr>
              <w:t xml:space="preserve">Бикиниева Ф.Ф.,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Нургатина И.И., Аухадиева А.М. «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Противоопухолевая активность 4-пиваоил-2-пирролонов в отношении сарком мягких тканей и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гастроинтестинальных стромальных опухолей (ГИСО)» - РНФ № 20-15-00001 (2020-22гг.)</w:t>
            </w:r>
          </w:p>
          <w:p w:rsidR="00A143FC" w:rsidRPr="00A143FC" w:rsidRDefault="00A143FC" w:rsidP="00A143FC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 xml:space="preserve">Бойчук С.В., Дунаев П.Д.,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Мустафин И.Г., Валеева Е.В. Изучение роли FGFR-cигнального пути в патогенезе и терапии гастроинтестинальных стромальных опухолей (ГИСО)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- РФФИ №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20-015-00034 А</w:t>
            </w:r>
            <w:r w:rsidRPr="00B95AEC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(2020-22гг.)</w:t>
            </w:r>
          </w:p>
          <w:p w:rsidR="00CE216E" w:rsidRPr="00095164" w:rsidRDefault="00CE216E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16E" w:rsidRPr="00450B4D" w:rsidTr="00A632A6">
        <w:tc>
          <w:tcPr>
            <w:tcW w:w="6048" w:type="dxa"/>
            <w:gridSpan w:val="2"/>
          </w:tcPr>
          <w:p w:rsidR="00CE216E" w:rsidRPr="00095164" w:rsidRDefault="00CE216E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заявки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CE216E" w:rsidRPr="00095164" w:rsidRDefault="00CE216E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FF5" w:rsidRPr="00450B4D" w:rsidTr="00A632A6">
        <w:tc>
          <w:tcPr>
            <w:tcW w:w="6048" w:type="dxa"/>
            <w:gridSpan w:val="2"/>
          </w:tcPr>
          <w:p w:rsidR="00F50FF5" w:rsidRPr="00B95AEC" w:rsidRDefault="00F50FF5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Межкластерное взаимодействие (участие в конференциях, проведение совместных научно-практических  мероприятий, научная работа, гранты, и тд) в кластер входят ИжГМА, ПИМУ, КирГМА, ПермГМУ. Ульяновский ГУ, КГМА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2021г.</w:t>
            </w:r>
          </w:p>
        </w:tc>
        <w:tc>
          <w:tcPr>
            <w:tcW w:w="4940" w:type="dxa"/>
          </w:tcPr>
          <w:p w:rsidR="00F50FF5" w:rsidRPr="00B95AEC" w:rsidRDefault="00F50FF5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FF5" w:rsidRPr="00450B4D" w:rsidTr="00A632A6">
        <w:tc>
          <w:tcPr>
            <w:tcW w:w="6048" w:type="dxa"/>
            <w:gridSpan w:val="2"/>
          </w:tcPr>
          <w:p w:rsidR="00F50FF5" w:rsidRPr="00B95AEC" w:rsidRDefault="00F50FF5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</w:t>
            </w:r>
            <w:r w:rsidRPr="0006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тд)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кафедры (сотрудников кафедр) 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4940" w:type="dxa"/>
          </w:tcPr>
          <w:p w:rsidR="00F50FF5" w:rsidRPr="00CE216E" w:rsidRDefault="00F50FF5" w:rsidP="00CE216E">
            <w:pPr>
              <w:pStyle w:val="ab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FF5" w:rsidRPr="00450B4D" w:rsidTr="00A632A6">
        <w:tc>
          <w:tcPr>
            <w:tcW w:w="6048" w:type="dxa"/>
            <w:gridSpan w:val="2"/>
          </w:tcPr>
          <w:p w:rsidR="00F50FF5" w:rsidRPr="00B22C41" w:rsidRDefault="00F50FF5" w:rsidP="00CE216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:rsidR="00F50FF5" w:rsidRDefault="00F50FF5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FF5" w:rsidRPr="00450B4D" w:rsidTr="00A632A6">
        <w:tc>
          <w:tcPr>
            <w:tcW w:w="6048" w:type="dxa"/>
            <w:gridSpan w:val="2"/>
          </w:tcPr>
          <w:p w:rsidR="00F50FF5" w:rsidRPr="00095164" w:rsidRDefault="00F50FF5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стоимость),</w:t>
            </w:r>
            <w:r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F50FF5" w:rsidRPr="00095164" w:rsidRDefault="00F50FF5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FF5" w:rsidRPr="002C4F81" w:rsidTr="00A632A6">
        <w:tc>
          <w:tcPr>
            <w:tcW w:w="6048" w:type="dxa"/>
            <w:gridSpan w:val="2"/>
          </w:tcPr>
          <w:p w:rsidR="00F50FF5" w:rsidRPr="00325664" w:rsidRDefault="00F50FF5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:rsidR="00F50FF5" w:rsidRPr="00B95AEC" w:rsidRDefault="00F50FF5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5AEC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Бойчук С.В.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 xml:space="preserve"> – редакционная коллегия журнала: "Казанский медицинский журнал" (Scopus)</w:t>
            </w:r>
          </w:p>
          <w:p w:rsidR="00F50FF5" w:rsidRPr="00B95AEC" w:rsidRDefault="00F50FF5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50FF5" w:rsidRPr="00B95AEC" w:rsidRDefault="00F50FF5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95A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2)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Бойчук С.В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. – редакционная коллегия журнала: "Успехи молекулярной онкологии" (Scopus)</w:t>
            </w:r>
          </w:p>
          <w:p w:rsidR="00F50FF5" w:rsidRPr="00B95AEC" w:rsidRDefault="00F50FF5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50FF5" w:rsidRPr="00B95AEC" w:rsidRDefault="00F50FF5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3)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Бойчук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редакционная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коллегия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журнала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>: "</w:t>
            </w:r>
            <w:r w:rsidRPr="00B95AEC">
              <w:rPr>
                <w:rStyle w:val="aa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>Cancer Medicine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>" (Scopus, Web of Science)</w:t>
            </w:r>
          </w:p>
          <w:p w:rsidR="00F50FF5" w:rsidRPr="00B95AEC" w:rsidRDefault="00F50FF5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50FF5" w:rsidRPr="00B95AEC" w:rsidRDefault="00F50FF5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4)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Бойчук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редакционная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коллегия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журналов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(2018-2021гг): " </w:t>
            </w:r>
            <w:r w:rsidRPr="00B95AEC">
              <w:rPr>
                <w:rStyle w:val="aa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>Cells, Pharmaceuticals, Current Oncology, Marine Drugs, Cancers, Molecules, Surgeries, International Journal of Molecular Sciences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>" (Scopus, Web of Science)</w:t>
            </w:r>
          </w:p>
          <w:p w:rsidR="00F50FF5" w:rsidRPr="00B95AEC" w:rsidRDefault="00F50FF5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50FF5" w:rsidRPr="00B95AEC" w:rsidRDefault="00F50FF5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5)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Бойчук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рецензент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член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совета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журналов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MDPI (Scopus, Web of Science) 2021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F50FF5" w:rsidRPr="00B95AEC" w:rsidRDefault="00F50FF5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50FF5" w:rsidRPr="00B95AEC" w:rsidRDefault="00F50FF5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6)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Бойчук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приглашенный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редактор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специального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выпуска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"Dyes and Luminophores as Biomarkers"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журнала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Style w:val="aa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>Molecules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(Scopus, Web of Science) 2021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F50FF5" w:rsidRPr="00B95AEC" w:rsidRDefault="00F50FF5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50FF5" w:rsidRPr="00B95AEC" w:rsidRDefault="00F50FF5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7)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Бойчук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95AEC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B95A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приглашенный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редактор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специального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выпуска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"Targeting of Signaling Pathways for Cancer Therapy" </w:t>
            </w:r>
            <w:r w:rsidRPr="00B95AEC">
              <w:rPr>
                <w:rFonts w:ascii="Times New Roman" w:hAnsi="Times New Roman"/>
                <w:sz w:val="24"/>
                <w:szCs w:val="24"/>
              </w:rPr>
              <w:t>журнала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95AEC">
              <w:rPr>
                <w:rStyle w:val="aa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>Molecules</w:t>
            </w:r>
            <w:r w:rsidRPr="00B95AE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(Scopus, Web of Science) 2021</w:t>
            </w:r>
          </w:p>
          <w:p w:rsidR="00F50FF5" w:rsidRPr="002C4F81" w:rsidRDefault="00F50FF5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0FF5" w:rsidRPr="00450B4D" w:rsidTr="00A632A6">
        <w:tc>
          <w:tcPr>
            <w:tcW w:w="6048" w:type="dxa"/>
            <w:gridSpan w:val="2"/>
          </w:tcPr>
          <w:p w:rsidR="00F50FF5" w:rsidRPr="00061640" w:rsidRDefault="00F50FF5" w:rsidP="00CE216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F50FF5" w:rsidRDefault="00F50FF5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50FF5" w:rsidRPr="00095164" w:rsidRDefault="00F50FF5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FF5" w:rsidRPr="00D05F7C" w:rsidTr="00A632A6">
        <w:tc>
          <w:tcPr>
            <w:tcW w:w="6048" w:type="dxa"/>
            <w:gridSpan w:val="2"/>
          </w:tcPr>
          <w:p w:rsidR="00F50FF5" w:rsidRPr="00CD22C1" w:rsidRDefault="00F50FF5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F50FF5" w:rsidRPr="002C4F81" w:rsidRDefault="00F50FF5" w:rsidP="00CE216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51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1523">
              <w:rPr>
                <w:rFonts w:ascii="Times New Roman" w:hAnsi="Times New Roman"/>
                <w:b/>
                <w:sz w:val="24"/>
                <w:szCs w:val="24"/>
              </w:rPr>
              <w:t>Бойчук С.В.</w:t>
            </w:r>
            <w:r w:rsidRPr="00F51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F51523">
              <w:rPr>
                <w:rFonts w:ascii="Times New Roman" w:hAnsi="Times New Roman"/>
                <w:sz w:val="24"/>
                <w:szCs w:val="24"/>
              </w:rPr>
              <w:t>КФУ.03.07. № 01-03/676 от 14.06.2019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51523">
              <w:rPr>
                <w:rFonts w:ascii="Times New Roman" w:hAnsi="Times New Roman"/>
                <w:sz w:val="24"/>
                <w:szCs w:val="24"/>
              </w:rPr>
              <w:t>с 1 сентября 2019 года сроком на 5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F51523">
              <w:rPr>
                <w:rFonts w:ascii="Times New Roman" w:hAnsi="Times New Roman"/>
                <w:sz w:val="24"/>
                <w:szCs w:val="24"/>
              </w:rPr>
              <w:t>Совет по защите в области биологических наук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51523">
              <w:rPr>
                <w:rFonts w:ascii="Times New Roman" w:hAnsi="Times New Roman"/>
                <w:sz w:val="24"/>
                <w:szCs w:val="24"/>
              </w:rPr>
              <w:t>03.02.03 - Микробиология (биологические науки), 03.01.04 - Биохимия (биологические науки), 03.02.07 - Генетика (биологические науки)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КФУ, Казань, </w:t>
            </w:r>
            <w:r w:rsidRPr="00F51523">
              <w:rPr>
                <w:rFonts w:ascii="Times New Roman" w:hAnsi="Times New Roman"/>
                <w:sz w:val="24"/>
                <w:szCs w:val="24"/>
              </w:rPr>
              <w:t>Член диссертационного совета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06972" w:rsidRDefault="00F06972" w:rsidP="0028599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06972" w:rsidRPr="00B95AEC" w:rsidRDefault="00F06972" w:rsidP="00F06972">
      <w:pPr>
        <w:rPr>
          <w:rFonts w:ascii="Times New Roman" w:hAnsi="Times New Roman"/>
          <w:sz w:val="24"/>
          <w:szCs w:val="24"/>
        </w:rPr>
      </w:pPr>
      <w:r w:rsidRPr="00B95AEC">
        <w:rPr>
          <w:rFonts w:ascii="Times New Roman" w:hAnsi="Times New Roman"/>
          <w:sz w:val="24"/>
          <w:szCs w:val="24"/>
        </w:rPr>
        <w:t>Зав. кафедрой профессор С.В. Бойчук</w:t>
      </w:r>
    </w:p>
    <w:p w:rsidR="00F06972" w:rsidRPr="00C27755" w:rsidRDefault="00F06972" w:rsidP="00F06972">
      <w:pPr>
        <w:rPr>
          <w:rFonts w:ascii="Times New Roman" w:hAnsi="Times New Roman"/>
          <w:sz w:val="24"/>
          <w:szCs w:val="24"/>
        </w:rPr>
      </w:pPr>
      <w:r w:rsidRPr="00B95AEC">
        <w:rPr>
          <w:rFonts w:ascii="Times New Roman" w:hAnsi="Times New Roman"/>
          <w:sz w:val="24"/>
          <w:szCs w:val="24"/>
        </w:rPr>
        <w:t>Ответственная за науку ассистент А.Р. Галембикова</w:t>
      </w:r>
    </w:p>
    <w:p w:rsidR="00F06972" w:rsidRDefault="00F06972" w:rsidP="0028599E">
      <w:pPr>
        <w:rPr>
          <w:rFonts w:ascii="Times New Roman" w:hAnsi="Times New Roman"/>
          <w:sz w:val="24"/>
          <w:szCs w:val="24"/>
        </w:rPr>
      </w:pPr>
    </w:p>
    <w:p w:rsidR="00F50FF5" w:rsidRDefault="00F50FF5" w:rsidP="0028599E">
      <w:pPr>
        <w:rPr>
          <w:rFonts w:ascii="Times New Roman" w:hAnsi="Times New Roman"/>
          <w:sz w:val="24"/>
          <w:szCs w:val="24"/>
        </w:rPr>
      </w:pPr>
    </w:p>
    <w:p w:rsidR="00F50FF5" w:rsidRDefault="00F50FF5" w:rsidP="0028599E">
      <w:pPr>
        <w:rPr>
          <w:rFonts w:ascii="Times New Roman" w:hAnsi="Times New Roman"/>
          <w:sz w:val="24"/>
          <w:szCs w:val="24"/>
        </w:rPr>
      </w:pPr>
    </w:p>
    <w:p w:rsidR="00F50FF5" w:rsidRDefault="00F50FF5" w:rsidP="0028599E">
      <w:pPr>
        <w:rPr>
          <w:rFonts w:ascii="Times New Roman" w:hAnsi="Times New Roman"/>
          <w:sz w:val="24"/>
          <w:szCs w:val="24"/>
        </w:rPr>
      </w:pPr>
    </w:p>
    <w:p w:rsidR="00F50FF5" w:rsidRDefault="00F50FF5" w:rsidP="0028599E">
      <w:pPr>
        <w:rPr>
          <w:rFonts w:ascii="Times New Roman" w:hAnsi="Times New Roman"/>
          <w:sz w:val="24"/>
          <w:szCs w:val="24"/>
        </w:rPr>
      </w:pPr>
    </w:p>
    <w:p w:rsidR="00F50FF5" w:rsidRDefault="00F50FF5" w:rsidP="00F50FF5">
      <w:pPr>
        <w:pageBreakBefore/>
        <w:rPr>
          <w:rFonts w:ascii="Times New Roman" w:hAnsi="Times New Roman"/>
          <w:sz w:val="24"/>
          <w:szCs w:val="24"/>
        </w:rPr>
      </w:pPr>
    </w:p>
    <w:p w:rsidR="00B541A5" w:rsidRDefault="00B541A5" w:rsidP="00285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Просим высылать </w:t>
      </w:r>
      <w:r w:rsidR="00246E91">
        <w:rPr>
          <w:rFonts w:ascii="Times New Roman" w:hAnsi="Times New Roman"/>
          <w:sz w:val="24"/>
          <w:szCs w:val="24"/>
        </w:rPr>
        <w:t xml:space="preserve">информацию </w:t>
      </w:r>
      <w:r>
        <w:rPr>
          <w:rFonts w:ascii="Times New Roman" w:hAnsi="Times New Roman"/>
          <w:sz w:val="24"/>
          <w:szCs w:val="24"/>
        </w:rPr>
        <w:t>на электронный адрес</w:t>
      </w:r>
      <w:r w:rsidR="00246E91">
        <w:rPr>
          <w:rFonts w:ascii="Times New Roman" w:hAnsi="Times New Roman"/>
          <w:sz w:val="24"/>
          <w:szCs w:val="24"/>
        </w:rPr>
        <w:t xml:space="preserve"> </w:t>
      </w:r>
      <w:r w:rsidR="0028599E" w:rsidRPr="0028599E">
        <w:rPr>
          <w:rFonts w:ascii="Times New Roman" w:hAnsi="Times New Roman"/>
          <w:i/>
          <w:iCs/>
          <w:sz w:val="24"/>
          <w:szCs w:val="24"/>
          <w:lang w:eastAsia="ru-RU"/>
        </w:rPr>
        <w:t>rushan.valiev@kazangmu.r</w:t>
      </w:r>
      <w:r w:rsidR="00DD38A8">
        <w:rPr>
          <w:rFonts w:ascii="Times New Roman" w:hAnsi="Times New Roman"/>
          <w:i/>
          <w:iCs/>
          <w:sz w:val="24"/>
          <w:szCs w:val="24"/>
          <w:lang w:val="en-US" w:eastAsia="ru-RU"/>
        </w:rPr>
        <w:t>u</w:t>
      </w:r>
      <w:hyperlink r:id="rId15" w:history="1"/>
      <w:r w:rsidR="0028599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сканированном варианте и занести 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оригиналы</w:t>
      </w:r>
      <w:r w:rsidR="00707AE4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707AE4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авторефераты, программы и сборники конференций,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монографии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– принести в научный отдел!</w:t>
      </w:r>
      <w:r w:rsidR="00707AE4">
        <w:rPr>
          <w:rFonts w:ascii="Times New Roman" w:hAnsi="Times New Roman"/>
          <w:b/>
          <w:sz w:val="30"/>
          <w:szCs w:val="30"/>
          <w:u w:val="single"/>
        </w:rPr>
        <w:t>)</w:t>
      </w:r>
      <w:r w:rsidR="002B39A0">
        <w:rPr>
          <w:rFonts w:ascii="Times New Roman" w:hAnsi="Times New Roman"/>
          <w:b/>
          <w:sz w:val="30"/>
          <w:szCs w:val="30"/>
          <w:u w:val="single"/>
        </w:rPr>
        <w:t>/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>копии</w:t>
      </w:r>
      <w:r w:rsidR="00577161">
        <w:rPr>
          <w:rFonts w:ascii="Times New Roman" w:hAnsi="Times New Roman"/>
          <w:b/>
          <w:sz w:val="30"/>
          <w:szCs w:val="30"/>
          <w:u w:val="single"/>
        </w:rPr>
        <w:t xml:space="preserve"> (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статей ВАК,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Scopus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 xml:space="preserve">, 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  <w:lang w:val="en-US"/>
        </w:rPr>
        <w:t>WoS</w:t>
      </w:r>
      <w:r w:rsidR="00577161" w:rsidRPr="00577161">
        <w:rPr>
          <w:rFonts w:ascii="Times New Roman" w:hAnsi="Times New Roman"/>
          <w:b/>
          <w:i/>
          <w:sz w:val="30"/>
          <w:szCs w:val="30"/>
          <w:u w:val="single"/>
        </w:rPr>
        <w:t>, договоров на гранты, договора по научной работе с другими организациями, заявки на грант</w:t>
      </w:r>
      <w:r w:rsidR="00577161">
        <w:rPr>
          <w:rFonts w:ascii="Times New Roman" w:hAnsi="Times New Roman"/>
          <w:b/>
          <w:sz w:val="30"/>
          <w:szCs w:val="30"/>
          <w:u w:val="single"/>
        </w:rPr>
        <w:t>– принести в научный отдел)</w:t>
      </w:r>
      <w:r w:rsidR="00095164" w:rsidRPr="00A00975">
        <w:rPr>
          <w:rFonts w:ascii="Times New Roman" w:hAnsi="Times New Roman"/>
          <w:b/>
          <w:sz w:val="30"/>
          <w:szCs w:val="30"/>
          <w:u w:val="single"/>
        </w:rPr>
        <w:t xml:space="preserve"> до </w:t>
      </w:r>
      <w:r w:rsidR="006B2763" w:rsidRPr="006B2763">
        <w:rPr>
          <w:rFonts w:ascii="Times New Roman" w:hAnsi="Times New Roman"/>
          <w:b/>
          <w:sz w:val="30"/>
          <w:szCs w:val="30"/>
          <w:u w:val="single"/>
        </w:rPr>
        <w:t xml:space="preserve">25 </w:t>
      </w:r>
      <w:r w:rsidR="00061640">
        <w:rPr>
          <w:rFonts w:ascii="Times New Roman" w:hAnsi="Times New Roman"/>
          <w:b/>
          <w:sz w:val="30"/>
          <w:szCs w:val="30"/>
          <w:u w:val="single"/>
        </w:rPr>
        <w:t>сентября</w:t>
      </w:r>
      <w:r w:rsidR="00CB53DF">
        <w:rPr>
          <w:rFonts w:ascii="Times New Roman" w:hAnsi="Times New Roman"/>
          <w:b/>
          <w:sz w:val="30"/>
          <w:szCs w:val="30"/>
          <w:u w:val="single"/>
        </w:rPr>
        <w:t xml:space="preserve"> 2021</w:t>
      </w:r>
      <w:r w:rsidR="004346E4" w:rsidRPr="00A00975">
        <w:rPr>
          <w:rFonts w:ascii="Times New Roman" w:hAnsi="Times New Roman"/>
          <w:b/>
          <w:sz w:val="30"/>
          <w:szCs w:val="30"/>
          <w:u w:val="single"/>
        </w:rPr>
        <w:t xml:space="preserve"> года!</w:t>
      </w:r>
      <w:r>
        <w:rPr>
          <w:rFonts w:ascii="Times New Roman" w:hAnsi="Times New Roman"/>
          <w:sz w:val="24"/>
          <w:szCs w:val="24"/>
        </w:rPr>
        <w:t xml:space="preserve"> в научный отдел</w:t>
      </w:r>
      <w:r w:rsidR="005F004B">
        <w:rPr>
          <w:rFonts w:ascii="Times New Roman" w:hAnsi="Times New Roman"/>
          <w:sz w:val="24"/>
          <w:szCs w:val="24"/>
        </w:rPr>
        <w:t xml:space="preserve"> </w:t>
      </w:r>
      <w:r w:rsidR="000D189A">
        <w:rPr>
          <w:rFonts w:ascii="Times New Roman" w:hAnsi="Times New Roman"/>
          <w:sz w:val="24"/>
          <w:szCs w:val="24"/>
        </w:rPr>
        <w:t>ГУК 2 этаж, 210 кабинет.</w:t>
      </w:r>
    </w:p>
    <w:p w:rsidR="00CD22C1" w:rsidRPr="00CD22C1" w:rsidRDefault="00CD22C1" w:rsidP="002859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PS</w:t>
      </w:r>
      <w:r w:rsidRPr="00CD22C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электронну</w:t>
      </w:r>
      <w:r w:rsidR="00CB53DF">
        <w:rPr>
          <w:rFonts w:ascii="Times New Roman" w:hAnsi="Times New Roman"/>
          <w:sz w:val="24"/>
          <w:szCs w:val="24"/>
        </w:rPr>
        <w:t xml:space="preserve">ю форму отчета просим готовить </w:t>
      </w:r>
      <w:r>
        <w:rPr>
          <w:rFonts w:ascii="Times New Roman" w:hAnsi="Times New Roman"/>
          <w:sz w:val="24"/>
          <w:szCs w:val="24"/>
        </w:rPr>
        <w:t>в формате</w:t>
      </w:r>
      <w:r w:rsidRPr="00CD2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 w:rsidRPr="00CD22C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doc</w:t>
      </w:r>
      <w:r w:rsidRPr="00CD22C1">
        <w:rPr>
          <w:rFonts w:ascii="Times New Roman" w:hAnsi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  <w:lang w:val="en-US"/>
        </w:rPr>
        <w:t>docx</w:t>
      </w:r>
      <w:r w:rsidRPr="00CD22C1">
        <w:rPr>
          <w:rFonts w:ascii="Times New Roman" w:hAnsi="Times New Roman"/>
          <w:sz w:val="24"/>
          <w:szCs w:val="24"/>
        </w:rPr>
        <w:t>.).</w:t>
      </w:r>
    </w:p>
    <w:p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35A" w:rsidRDefault="00AB635A" w:rsidP="008638C3">
      <w:pPr>
        <w:spacing w:after="0"/>
      </w:pPr>
      <w:r>
        <w:separator/>
      </w:r>
    </w:p>
  </w:endnote>
  <w:endnote w:type="continuationSeparator" w:id="0">
    <w:p w:rsidR="00AB635A" w:rsidRDefault="00AB635A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35A" w:rsidRDefault="00AB635A" w:rsidP="008638C3">
      <w:pPr>
        <w:spacing w:after="0"/>
      </w:pPr>
      <w:r>
        <w:separator/>
      </w:r>
    </w:p>
  </w:footnote>
  <w:footnote w:type="continuationSeparator" w:id="0">
    <w:p w:rsidR="00AB635A" w:rsidRDefault="00AB635A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96B3C"/>
    <w:multiLevelType w:val="hybridMultilevel"/>
    <w:tmpl w:val="1C962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B410B"/>
    <w:multiLevelType w:val="hybridMultilevel"/>
    <w:tmpl w:val="85F23C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1267F"/>
    <w:multiLevelType w:val="hybridMultilevel"/>
    <w:tmpl w:val="368AD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541CE"/>
    <w:multiLevelType w:val="hybridMultilevel"/>
    <w:tmpl w:val="B8C86F3E"/>
    <w:lvl w:ilvl="0" w:tplc="8F8ED778">
      <w:start w:val="1"/>
      <w:numFmt w:val="decimal"/>
      <w:lvlText w:val="%1)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9445B"/>
    <w:multiLevelType w:val="hybridMultilevel"/>
    <w:tmpl w:val="BE600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522D9"/>
    <w:multiLevelType w:val="hybridMultilevel"/>
    <w:tmpl w:val="BE600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27E1B"/>
    <w:multiLevelType w:val="hybridMultilevel"/>
    <w:tmpl w:val="2C74E098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D7AF1"/>
    <w:multiLevelType w:val="hybridMultilevel"/>
    <w:tmpl w:val="82904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C22DE"/>
    <w:multiLevelType w:val="hybridMultilevel"/>
    <w:tmpl w:val="CCE62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27562"/>
    <w:multiLevelType w:val="hybridMultilevel"/>
    <w:tmpl w:val="E51E6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D5E2B"/>
    <w:multiLevelType w:val="hybridMultilevel"/>
    <w:tmpl w:val="4FE450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53EBC"/>
    <w:rsid w:val="00061640"/>
    <w:rsid w:val="00067015"/>
    <w:rsid w:val="00070A90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0043"/>
    <w:rsid w:val="00115603"/>
    <w:rsid w:val="00116BAB"/>
    <w:rsid w:val="001260D6"/>
    <w:rsid w:val="00132880"/>
    <w:rsid w:val="00182B61"/>
    <w:rsid w:val="00182E5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270EB"/>
    <w:rsid w:val="00246E91"/>
    <w:rsid w:val="00280256"/>
    <w:rsid w:val="00280B80"/>
    <w:rsid w:val="00280DFD"/>
    <w:rsid w:val="0028599E"/>
    <w:rsid w:val="00291E80"/>
    <w:rsid w:val="002A093F"/>
    <w:rsid w:val="002B39A0"/>
    <w:rsid w:val="002C4F81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0065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805F9"/>
    <w:rsid w:val="00497251"/>
    <w:rsid w:val="004A522F"/>
    <w:rsid w:val="004C26B9"/>
    <w:rsid w:val="004C2EE2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D3BE3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86CA8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143FC"/>
    <w:rsid w:val="00A22907"/>
    <w:rsid w:val="00A30BAC"/>
    <w:rsid w:val="00A45C68"/>
    <w:rsid w:val="00A46C79"/>
    <w:rsid w:val="00A62C17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B635A"/>
    <w:rsid w:val="00AC0C99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2BF9"/>
    <w:rsid w:val="00C0351F"/>
    <w:rsid w:val="00C03D40"/>
    <w:rsid w:val="00C23B4A"/>
    <w:rsid w:val="00C33205"/>
    <w:rsid w:val="00C41A80"/>
    <w:rsid w:val="00C471CF"/>
    <w:rsid w:val="00C47945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216E"/>
    <w:rsid w:val="00CE5C6B"/>
    <w:rsid w:val="00CF2D46"/>
    <w:rsid w:val="00D045D0"/>
    <w:rsid w:val="00D05F7C"/>
    <w:rsid w:val="00D1257B"/>
    <w:rsid w:val="00D20FD8"/>
    <w:rsid w:val="00D22951"/>
    <w:rsid w:val="00D27F06"/>
    <w:rsid w:val="00D31F1D"/>
    <w:rsid w:val="00D4106F"/>
    <w:rsid w:val="00D65A00"/>
    <w:rsid w:val="00D65C02"/>
    <w:rsid w:val="00D66C75"/>
    <w:rsid w:val="00D70076"/>
    <w:rsid w:val="00D7114F"/>
    <w:rsid w:val="00D746A1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33041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06972"/>
    <w:rsid w:val="00F15FBA"/>
    <w:rsid w:val="00F2697A"/>
    <w:rsid w:val="00F3626C"/>
    <w:rsid w:val="00F50FF5"/>
    <w:rsid w:val="00F51523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A1B72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Emphasis"/>
    <w:uiPriority w:val="20"/>
    <w:qFormat/>
    <w:rsid w:val="00F06972"/>
    <w:rPr>
      <w:i/>
      <w:iCs/>
    </w:rPr>
  </w:style>
  <w:style w:type="paragraph" w:styleId="ab">
    <w:name w:val="List Paragraph"/>
    <w:basedOn w:val="a"/>
    <w:uiPriority w:val="34"/>
    <w:qFormat/>
    <w:rsid w:val="006D3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3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20/med-10-2108-04" TargetMode="External"/><Relationship Id="rId13" Type="http://schemas.openxmlformats.org/officeDocument/2006/relationships/hyperlink" Target="https://doi.org/10.1007/s12668-021-00901-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21/acsabm.1c0055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7816/KMJ2021-5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oto.mail.ru/cgi-bin/avatars?navi=2" TargetMode="External"/><Relationship Id="rId10" Type="http://schemas.openxmlformats.org/officeDocument/2006/relationships/hyperlink" Target="https://doi.org/10.1007/s12668-021-00901-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21/acsabm.1c00550" TargetMode="External"/><Relationship Id="rId14" Type="http://schemas.openxmlformats.org/officeDocument/2006/relationships/hyperlink" Target="https://doi.org/10.1021/acsabm.1c005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7BF72-02C8-418B-80CA-E7C0D80CA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10778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Пользователь Windows</cp:lastModifiedBy>
  <cp:revision>13</cp:revision>
  <cp:lastPrinted>2020-12-09T08:55:00Z</cp:lastPrinted>
  <dcterms:created xsi:type="dcterms:W3CDTF">2021-09-14T09:56:00Z</dcterms:created>
  <dcterms:modified xsi:type="dcterms:W3CDTF">2021-09-23T08:53:00Z</dcterms:modified>
</cp:coreProperties>
</file>