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CB" w:rsidRPr="00046DCB" w:rsidRDefault="00046DCB" w:rsidP="00046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 xml:space="preserve">Перечень практических навыков для подготовки к промежуточной аттестации </w:t>
      </w:r>
      <w:r w:rsidR="00D351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46DCB">
        <w:rPr>
          <w:rFonts w:ascii="Times New Roman" w:hAnsi="Times New Roman" w:cs="Times New Roman"/>
          <w:sz w:val="28"/>
          <w:szCs w:val="28"/>
        </w:rPr>
        <w:t xml:space="preserve"> семестра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подвздошной кости, фиксированной в задней ротации.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подвздошной кости, фиксированной в передней ротации.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верхнего смещения подвздошной кости.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передней торсии крестца.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задней торсии крестца.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односторонней флексии крестца.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односторонней экстензии крестца.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двусторонней экстензии крестца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двусторонней флексии крестца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 xml:space="preserve"> Остеопатическое обследование таза. Коррекция лонного сочленения, фиксированного в </w:t>
      </w:r>
      <w:proofErr w:type="gramStart"/>
      <w:r w:rsidRPr="00046DCB">
        <w:rPr>
          <w:rFonts w:ascii="Times New Roman" w:hAnsi="Times New Roman" w:cs="Times New Roman"/>
          <w:sz w:val="28"/>
          <w:szCs w:val="28"/>
        </w:rPr>
        <w:t>передне-нижнем</w:t>
      </w:r>
      <w:proofErr w:type="gramEnd"/>
      <w:r w:rsidRPr="00046DCB">
        <w:rPr>
          <w:rFonts w:ascii="Times New Roman" w:hAnsi="Times New Roman" w:cs="Times New Roman"/>
          <w:sz w:val="28"/>
          <w:szCs w:val="28"/>
        </w:rPr>
        <w:t xml:space="preserve"> положении.</w:t>
      </w:r>
    </w:p>
    <w:p w:rsidR="00046DCB" w:rsidRPr="00D35151" w:rsidRDefault="00046DCB" w:rsidP="00D351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 xml:space="preserve">Остеопатическое обследование таза. Коррекция лонного сочленения, фиксированного в </w:t>
      </w:r>
      <w:proofErr w:type="spellStart"/>
      <w:r w:rsidR="00D35151">
        <w:rPr>
          <w:rFonts w:ascii="Times New Roman" w:hAnsi="Times New Roman" w:cs="Times New Roman"/>
          <w:sz w:val="28"/>
          <w:szCs w:val="28"/>
        </w:rPr>
        <w:t>задне</w:t>
      </w:r>
      <w:proofErr w:type="spellEnd"/>
      <w:r w:rsidR="00D35151">
        <w:rPr>
          <w:rFonts w:ascii="Times New Roman" w:hAnsi="Times New Roman" w:cs="Times New Roman"/>
          <w:sz w:val="28"/>
          <w:szCs w:val="28"/>
        </w:rPr>
        <w:t>-верхнем</w:t>
      </w:r>
      <w:bookmarkStart w:id="0" w:name="_GoBack"/>
      <w:bookmarkEnd w:id="0"/>
      <w:r w:rsidRPr="00D35151">
        <w:rPr>
          <w:rFonts w:ascii="Times New Roman" w:hAnsi="Times New Roman" w:cs="Times New Roman"/>
          <w:sz w:val="28"/>
          <w:szCs w:val="28"/>
        </w:rPr>
        <w:t xml:space="preserve"> положении.</w:t>
      </w:r>
    </w:p>
    <w:p w:rsid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Остеопатическое обследование таза. Коррекция лонного сочленения, фиксированного в компрессии.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>Ортостатическая проба.</w:t>
      </w:r>
      <w:r w:rsidRPr="00046D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5449157"/>
      <w:r w:rsidRPr="00046DCB">
        <w:rPr>
          <w:rFonts w:ascii="Times New Roman" w:hAnsi="Times New Roman" w:cs="Times New Roman"/>
          <w:sz w:val="28"/>
          <w:szCs w:val="28"/>
        </w:rPr>
        <w:t>Методика проведения. Интерпретация полученных результатов</w:t>
      </w:r>
      <w:bookmarkEnd w:id="1"/>
    </w:p>
    <w:p w:rsid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>Проба Штанге.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Интерпретация полученных результатов. Нормы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Проба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Генчи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Интерпретация полученных результатов. Нормы</w:t>
      </w:r>
    </w:p>
    <w:p w:rsid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Проба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Мартинэ-Кушеевского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Интерпретация полученных результатов. 5 типов реакции на нагрузку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Проба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Руффье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5449459"/>
      <w:r w:rsidRPr="00046DCB">
        <w:rPr>
          <w:rFonts w:ascii="Times New Roman" w:hAnsi="Times New Roman" w:cs="Times New Roman"/>
          <w:sz w:val="28"/>
          <w:szCs w:val="28"/>
        </w:rPr>
        <w:t>Методика проведения. Интерпретация полученных данных. Нормы</w:t>
      </w:r>
      <w:bookmarkEnd w:id="2"/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Сколиометрия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Интерпретация полученных данных. </w:t>
      </w:r>
      <w:bookmarkStart w:id="3" w:name="_Hlk155450316"/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Углометрия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46DCB">
        <w:rPr>
          <w:rFonts w:ascii="Times New Roman" w:hAnsi="Times New Roman" w:cs="Times New Roman"/>
          <w:sz w:val="28"/>
          <w:szCs w:val="28"/>
        </w:rPr>
        <w:t>Методика проведения. Интерпретация полученных данных. Нормы для лучезапястного сустава</w:t>
      </w:r>
    </w:p>
    <w:bookmarkEnd w:id="3"/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Клино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-ортостатическая проба.</w:t>
      </w:r>
      <w:r w:rsidRPr="00046DC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5450083"/>
      <w:r w:rsidRPr="00046DCB">
        <w:rPr>
          <w:rFonts w:ascii="Times New Roman" w:hAnsi="Times New Roman" w:cs="Times New Roman"/>
          <w:sz w:val="28"/>
          <w:szCs w:val="28"/>
        </w:rPr>
        <w:t>Методика проведения</w:t>
      </w:r>
      <w:bookmarkEnd w:id="4"/>
      <w:r w:rsidRPr="00046DCB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55450133"/>
      <w:r w:rsidRPr="00046DCB">
        <w:rPr>
          <w:rFonts w:ascii="Times New Roman" w:hAnsi="Times New Roman" w:cs="Times New Roman"/>
          <w:sz w:val="28"/>
          <w:szCs w:val="28"/>
        </w:rPr>
        <w:t>Интерпретация полученных результатов</w:t>
      </w:r>
      <w:bookmarkEnd w:id="5"/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Функциональные тесты на мениски </w:t>
      </w:r>
      <w:r w:rsidRPr="00046DCB">
        <w:rPr>
          <w:rFonts w:ascii="Times New Roman" w:hAnsi="Times New Roman" w:cs="Times New Roman"/>
          <w:sz w:val="28"/>
          <w:szCs w:val="28"/>
        </w:rPr>
        <w:t xml:space="preserve">(Тест </w:t>
      </w:r>
      <w:proofErr w:type="spellStart"/>
      <w:r w:rsidRPr="00046DCB">
        <w:rPr>
          <w:rFonts w:ascii="Times New Roman" w:hAnsi="Times New Roman" w:cs="Times New Roman"/>
          <w:sz w:val="28"/>
          <w:szCs w:val="28"/>
          <w:lang w:val="en-US"/>
        </w:rPr>
        <w:t>McMurrey</w:t>
      </w:r>
      <w:proofErr w:type="spellEnd"/>
      <w:r w:rsidRPr="00046DCB"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 w:rsidRPr="00046DCB">
        <w:rPr>
          <w:rFonts w:ascii="Times New Roman" w:hAnsi="Times New Roman" w:cs="Times New Roman"/>
          <w:sz w:val="28"/>
          <w:szCs w:val="28"/>
          <w:lang w:val="en-US"/>
        </w:rPr>
        <w:t>Apley</w:t>
      </w:r>
      <w:proofErr w:type="spellEnd"/>
      <w:r w:rsidRPr="00046DCB">
        <w:rPr>
          <w:rFonts w:ascii="Times New Roman" w:hAnsi="Times New Roman" w:cs="Times New Roman"/>
          <w:sz w:val="28"/>
          <w:szCs w:val="28"/>
        </w:rPr>
        <w:t>, Тест на болезненность суставной линии). Методика проведения. При положительном тесте на повреждение каких структур указывает. Интерпретация полученных результатов.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Вегетативный индекс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Кердо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определения. Интерпретация полученных данных. Нормы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>Тест на ротационную стабильность коленного сустава (проба Макинтоша)</w:t>
      </w:r>
      <w:r w:rsidRPr="00046DCB">
        <w:rPr>
          <w:rFonts w:ascii="Times New Roman" w:hAnsi="Times New Roman" w:cs="Times New Roman"/>
          <w:sz w:val="28"/>
          <w:szCs w:val="28"/>
        </w:rPr>
        <w:t>. Методика проведения. При положительном тесте на повреждение каких структур указывает. Интерпретация полученных результатов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6" w:name="_Hlk155451783"/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Углометрия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46DCB">
        <w:rPr>
          <w:rFonts w:ascii="Times New Roman" w:hAnsi="Times New Roman" w:cs="Times New Roman"/>
          <w:sz w:val="28"/>
          <w:szCs w:val="28"/>
        </w:rPr>
        <w:t>Методика проведения. Интерпретация полученных данных. Нормы для голеностопного сустава</w:t>
      </w:r>
      <w:bookmarkEnd w:id="6"/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Тест переднего выдвижного ящика, тест заднего выдвижного ящика, тест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Лахмана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При положительном тесте на повреждение каких структур указывает. Интерпретация полученных результатов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Кистевая динамометрия. </w:t>
      </w:r>
      <w:bookmarkStart w:id="7" w:name="_Hlk155450954"/>
      <w:r w:rsidRPr="00046DCB">
        <w:rPr>
          <w:rFonts w:ascii="Times New Roman" w:hAnsi="Times New Roman" w:cs="Times New Roman"/>
          <w:sz w:val="28"/>
          <w:szCs w:val="28"/>
        </w:rPr>
        <w:t>Методика проведения. Интерпретация полученных данных. Норм</w:t>
      </w:r>
      <w:bookmarkEnd w:id="7"/>
      <w:r>
        <w:rPr>
          <w:rFonts w:ascii="Times New Roman" w:hAnsi="Times New Roman" w:cs="Times New Roman"/>
          <w:sz w:val="28"/>
          <w:szCs w:val="28"/>
        </w:rPr>
        <w:t>ы.</w:t>
      </w:r>
      <w:r w:rsidRPr="00046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Тест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Neer</w:t>
      </w:r>
      <w:proofErr w:type="spellEnd"/>
      <w:r w:rsidRPr="00046DCB">
        <w:rPr>
          <w:rFonts w:ascii="Times New Roman" w:hAnsi="Times New Roman" w:cs="Times New Roman"/>
          <w:sz w:val="28"/>
          <w:szCs w:val="28"/>
        </w:rPr>
        <w:t xml:space="preserve"> для плечевого сустава. Методика проведения. Интерпретация полученных данных. Какие мышцы вовлечены при положительном симптоме?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Проба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Мартинэ-Кушеевского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Интерпретация полученных результатов. 5 типов реакции на нагрузку.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Проба </w:t>
      </w:r>
      <w:proofErr w:type="spellStart"/>
      <w:r w:rsidRPr="00046DCB">
        <w:rPr>
          <w:rFonts w:ascii="Times New Roman" w:hAnsi="Times New Roman" w:cs="Times New Roman"/>
          <w:bCs/>
          <w:sz w:val="28"/>
          <w:szCs w:val="28"/>
          <w:lang w:val="en-US"/>
        </w:rPr>
        <w:t>Yergason</w:t>
      </w:r>
      <w:proofErr w:type="spellEnd"/>
      <w:r w:rsidRPr="00046DCB">
        <w:rPr>
          <w:rFonts w:ascii="Times New Roman" w:hAnsi="Times New Roman" w:cs="Times New Roman"/>
          <w:sz w:val="28"/>
          <w:szCs w:val="28"/>
        </w:rPr>
        <w:t xml:space="preserve"> для плечевого сустава. Методика проведения. Интерпретация полученных данных. Какие мышцы вовлечены при положительном симптоме?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 xml:space="preserve">Тест </w:t>
      </w:r>
      <w:r w:rsidRPr="00046DCB">
        <w:rPr>
          <w:rFonts w:ascii="Times New Roman" w:hAnsi="Times New Roman" w:cs="Times New Roman"/>
          <w:bCs/>
          <w:sz w:val="28"/>
          <w:szCs w:val="28"/>
          <w:lang w:val="en-US"/>
        </w:rPr>
        <w:t>PWC</w:t>
      </w:r>
      <w:r w:rsidRPr="00046DCB">
        <w:rPr>
          <w:rFonts w:ascii="Times New Roman" w:hAnsi="Times New Roman" w:cs="Times New Roman"/>
          <w:bCs/>
          <w:sz w:val="28"/>
          <w:szCs w:val="28"/>
        </w:rPr>
        <w:t xml:space="preserve"> – 170.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Интерпретация полученных данных. Нормы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lastRenderedPageBreak/>
        <w:t>Тест для оценки надостного сухожилия.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Методика проведения. Интерпретация полученных данных. 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Гарвардский степ-тест. Методика проведения. Интерпретация полученных данных. Нормы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>Тесты на нестабильность коленного сустава.</w:t>
      </w:r>
      <w:r w:rsidRPr="00046DCB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ечислите. Методика проведения (</w:t>
      </w:r>
      <w:r w:rsidRPr="00046DCB">
        <w:rPr>
          <w:rFonts w:ascii="Times New Roman" w:hAnsi="Times New Roman" w:cs="Times New Roman"/>
          <w:sz w:val="28"/>
          <w:szCs w:val="28"/>
        </w:rPr>
        <w:t>не менее 3)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bCs/>
          <w:sz w:val="28"/>
          <w:szCs w:val="28"/>
        </w:rPr>
        <w:t>Тест Адамса.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DCB">
        <w:rPr>
          <w:rFonts w:ascii="Times New Roman" w:hAnsi="Times New Roman" w:cs="Times New Roman"/>
          <w:sz w:val="28"/>
          <w:szCs w:val="28"/>
        </w:rPr>
        <w:t>Методика проведения. Интерпретация полученных данных. Нормы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Тест Томпсона. Методика проведения. Интерпретация полученных данных.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DCB">
        <w:rPr>
          <w:rFonts w:ascii="Times New Roman" w:hAnsi="Times New Roman" w:cs="Times New Roman"/>
          <w:bCs/>
          <w:sz w:val="28"/>
          <w:szCs w:val="28"/>
        </w:rPr>
        <w:t>Углометрия</w:t>
      </w:r>
      <w:proofErr w:type="spellEnd"/>
      <w:r w:rsidRPr="00046DCB">
        <w:rPr>
          <w:rFonts w:ascii="Times New Roman" w:hAnsi="Times New Roman" w:cs="Times New Roman"/>
          <w:bCs/>
          <w:sz w:val="28"/>
          <w:szCs w:val="28"/>
        </w:rPr>
        <w:t>.</w:t>
      </w:r>
      <w:r w:rsidRPr="00046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DCB">
        <w:rPr>
          <w:rFonts w:ascii="Times New Roman" w:hAnsi="Times New Roman" w:cs="Times New Roman"/>
          <w:sz w:val="28"/>
          <w:szCs w:val="28"/>
        </w:rPr>
        <w:t>Методика проведения. Интерпретация полученных данных. Нормы для локтевого сустава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>Инверсионный стресс-тест на стопе. Методика проведения. Интерпретация полученных данных. Какие структуры вовлечены при положительном симптоме?</w:t>
      </w:r>
    </w:p>
    <w:p w:rsidR="00046DCB" w:rsidRPr="00046DCB" w:rsidRDefault="00046DCB" w:rsidP="00046D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DCB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046DCB">
        <w:rPr>
          <w:rFonts w:ascii="Times New Roman" w:hAnsi="Times New Roman" w:cs="Times New Roman"/>
          <w:sz w:val="28"/>
          <w:szCs w:val="28"/>
        </w:rPr>
        <w:t>Летунова</w:t>
      </w:r>
      <w:proofErr w:type="spellEnd"/>
      <w:r w:rsidRPr="00046DCB">
        <w:rPr>
          <w:rFonts w:ascii="Times New Roman" w:hAnsi="Times New Roman" w:cs="Times New Roman"/>
          <w:sz w:val="28"/>
          <w:szCs w:val="28"/>
        </w:rPr>
        <w:t xml:space="preserve"> трехкомпонентная. Методика проведения. Интерпретация полученных данных. Нормы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378" w:rsidRDefault="00DA6378"/>
    <w:sectPr w:rsidR="00DA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BBC"/>
    <w:multiLevelType w:val="hybridMultilevel"/>
    <w:tmpl w:val="FBE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525C"/>
    <w:multiLevelType w:val="hybridMultilevel"/>
    <w:tmpl w:val="E3BC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1307"/>
    <w:multiLevelType w:val="hybridMultilevel"/>
    <w:tmpl w:val="1B3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6563"/>
    <w:multiLevelType w:val="hybridMultilevel"/>
    <w:tmpl w:val="0240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71631"/>
    <w:multiLevelType w:val="hybridMultilevel"/>
    <w:tmpl w:val="8C00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14841"/>
    <w:multiLevelType w:val="hybridMultilevel"/>
    <w:tmpl w:val="A7F6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9575D"/>
    <w:multiLevelType w:val="hybridMultilevel"/>
    <w:tmpl w:val="A7A0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4639D"/>
    <w:multiLevelType w:val="hybridMultilevel"/>
    <w:tmpl w:val="53B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A6D6F"/>
    <w:multiLevelType w:val="hybridMultilevel"/>
    <w:tmpl w:val="3136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E7EF9"/>
    <w:multiLevelType w:val="hybridMultilevel"/>
    <w:tmpl w:val="0736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30CF6"/>
    <w:multiLevelType w:val="hybridMultilevel"/>
    <w:tmpl w:val="D60C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D6A89"/>
    <w:multiLevelType w:val="hybridMultilevel"/>
    <w:tmpl w:val="08BC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1E95"/>
    <w:multiLevelType w:val="hybridMultilevel"/>
    <w:tmpl w:val="2BC6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41B76"/>
    <w:multiLevelType w:val="hybridMultilevel"/>
    <w:tmpl w:val="CED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2F"/>
    <w:rsid w:val="00046DCB"/>
    <w:rsid w:val="00D35151"/>
    <w:rsid w:val="00D7242F"/>
    <w:rsid w:val="00D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7E65-EC7E-4638-BB76-67F5AF92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Язиля</cp:lastModifiedBy>
  <cp:revision>3</cp:revision>
  <dcterms:created xsi:type="dcterms:W3CDTF">2024-12-15T04:53:00Z</dcterms:created>
  <dcterms:modified xsi:type="dcterms:W3CDTF">2024-12-16T08:17:00Z</dcterms:modified>
</cp:coreProperties>
</file>