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939F" w14:textId="77777777" w:rsidR="00CD6865" w:rsidRDefault="00CD6865" w:rsidP="00CD686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56ECC2" w14:textId="0A6F9EDC" w:rsidR="00CD6865" w:rsidRDefault="00F60DF8" w:rsidP="00CD686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Цинеккер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Д. Т.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Мамаева Е. В.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Хусаинов И. Х.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="00CD6865">
        <w:rPr>
          <w:rFonts w:ascii="Times New Roman" w:hAnsi="Times New Roman"/>
          <w:b/>
          <w:bCs/>
          <w:color w:val="000000"/>
          <w:sz w:val="24"/>
          <w:szCs w:val="24"/>
        </w:rPr>
        <w:t>КЛИНИЧЕСКИЙ СЛУЧАЙ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D6865">
        <w:rPr>
          <w:rStyle w:val="a3"/>
          <w:rFonts w:ascii="Times New Roman" w:hAnsi="Times New Roman"/>
          <w:b/>
          <w:bCs/>
          <w:color w:val="000000"/>
          <w:sz w:val="24"/>
          <w:szCs w:val="24"/>
        </w:rPr>
        <w:t>ХРОНИЧЕСКОГО ГЕНЕРАЛИЗОВАННОГО ПАРОДОНТИТА, АССОЦИИРОВАННОГО С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C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NDIDA</w:t>
      </w:r>
      <w:r w:rsidR="00CD6865" w:rsidRP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D6865">
        <w:rPr>
          <w:rStyle w:val="a3"/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INCONSPICUA</w:t>
      </w:r>
      <w:r w:rsidR="00CD6865" w:rsidRPr="00CD6865">
        <w:rPr>
          <w:rStyle w:val="a3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CD6865">
        <w:rPr>
          <w:rStyle w:val="a3"/>
          <w:rFonts w:ascii="Times New Roman" w:hAnsi="Times New Roman"/>
          <w:b/>
          <w:bCs/>
          <w:color w:val="000000"/>
          <w:sz w:val="24"/>
          <w:szCs w:val="24"/>
        </w:rPr>
        <w:t xml:space="preserve">У ПАЦИЕНТА ПОСЛЕ ПЕРЕНЕСЕННОЙ НОВОЙ КОРОНОВИРУСНОЙ ИНФЕКЦИИ </w:t>
      </w:r>
      <w:r w:rsidR="00CD686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COVID</w:t>
      </w:r>
      <w:r w:rsidR="00CD6865">
        <w:rPr>
          <w:rFonts w:ascii="Times New Roman" w:hAnsi="Times New Roman"/>
          <w:b/>
          <w:bCs/>
          <w:color w:val="000000"/>
          <w:sz w:val="24"/>
          <w:szCs w:val="24"/>
        </w:rPr>
        <w:t>-19. Проблемы стоматологии 2025; 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56-61. </w:t>
      </w:r>
      <w:r>
        <w:rPr>
          <w:rFonts w:ascii="TimesNewRomanPSMT" w:eastAsia="TimesNewRomanPSMT" w:cs="TimesNewRomanPSMT"/>
          <w:sz w:val="21"/>
          <w:szCs w:val="21"/>
        </w:rPr>
        <w:t>DOI: 10.18481/2077</w:t>
      </w:r>
      <w:r>
        <w:rPr>
          <w:rFonts w:ascii="TimesNewRomanPSMT" w:eastAsia="TimesNewRomanPSMT" w:cs="TimesNewRomanPSMT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7566</w:t>
      </w:r>
      <w:r>
        <w:rPr>
          <w:rFonts w:ascii="TimesNewRomanPSMT" w:eastAsia="TimesNewRomanPSMT" w:cs="TimesNewRomanPSMT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2025</w:t>
      </w:r>
      <w:r>
        <w:rPr>
          <w:rFonts w:ascii="TimesNewRomanPSMT" w:eastAsia="TimesNewRomanPSMT" w:cs="TimesNewRomanPSMT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21</w:t>
      </w:r>
      <w:r>
        <w:rPr>
          <w:rFonts w:ascii="TimesNewRomanPSMT" w:eastAsia="TimesNewRomanPSMT" w:cs="TimesNewRomanPSMT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2</w:t>
      </w:r>
      <w:r>
        <w:rPr>
          <w:rFonts w:ascii="TimesNewRomanPSMT" w:eastAsia="TimesNewRomanPSMT" w:cs="TimesNewRomanPSMT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00</w:t>
      </w:r>
    </w:p>
    <w:p w14:paraId="78C5B4D3" w14:textId="006AB2D7" w:rsidR="00CD6865" w:rsidRDefault="00CD6865" w:rsidP="00CD686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</w:pPr>
    </w:p>
    <w:p w14:paraId="555F3F8E" w14:textId="77777777" w:rsidR="00C93BA6" w:rsidRDefault="00C93BA6" w:rsidP="00CD686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</w:pPr>
    </w:p>
    <w:p w14:paraId="113033AE" w14:textId="6142D93B" w:rsidR="00A333AA" w:rsidRDefault="00C93BA6" w:rsidP="00CD68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Гадрахманова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Д.И.,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Габдрахманова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М.Г., Фазылова Ю.В. </w:t>
      </w:r>
      <w:r w:rsidRPr="00C93B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Влияние стресса на состояние твердых тканей зуба и </w:t>
      </w:r>
      <w:proofErr w:type="spellStart"/>
      <w:r w:rsidRPr="00C93B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>парадонт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. </w:t>
      </w:r>
      <w:r w:rsidRPr="00504CAF">
        <w:rPr>
          <w:rFonts w:ascii="Times New Roman" w:hAnsi="Times New Roman" w:cs="Times New Roman"/>
          <w:color w:val="000000" w:themeColor="text1"/>
          <w:sz w:val="24"/>
          <w:szCs w:val="24"/>
        </w:rPr>
        <w:t>Сборник тезисов 99й международной студенческой научно-практической конференции «Белые цветы». – 2025. –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1370</w:t>
      </w:r>
    </w:p>
    <w:p w14:paraId="5C948E5D" w14:textId="4A267A99" w:rsidR="000A2029" w:rsidRDefault="000A2029" w:rsidP="00CD68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A203D" w14:textId="6DF3AA23" w:rsidR="000A2029" w:rsidRDefault="000A2029" w:rsidP="00CD68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2E2B9" w14:textId="53076BD5" w:rsidR="000A2029" w:rsidRDefault="000A2029" w:rsidP="00CD686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perscript"/>
        </w:rPr>
      </w:pP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Гайнуллин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И.Р., Игнатьева Л.А.,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Рыскина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А.В.,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Миннулина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К.И..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Сравнительная характеристика состояния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зубо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-челюстной системы и опорно-двигательного аппарата школьников и спортсменов подросткового возраста 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И.Р.Гайнуллин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Л.А. Игнатьева , А.В.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Рыскина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К.И.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Миннуллина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//Вестник клинической медицины.-2025.- №3.-с.23-30</w:t>
      </w:r>
    </w:p>
    <w:p w14:paraId="08A2D30F" w14:textId="77777777" w:rsidR="00B02814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8"/>
          <w:szCs w:val="18"/>
        </w:rPr>
      </w:pPr>
    </w:p>
    <w:p w14:paraId="4D39A158" w14:textId="641EB216" w:rsidR="00B02814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8"/>
          <w:szCs w:val="18"/>
        </w:rPr>
      </w:pPr>
      <w:r>
        <w:rPr>
          <w:rFonts w:ascii="MyriadPro-SemiCn" w:hAnsi="MyriadPro-SemiCn" w:cs="MyriadPro-SemiCn"/>
          <w:sz w:val="18"/>
          <w:szCs w:val="18"/>
        </w:rPr>
        <w:t xml:space="preserve">Сенина В.О., Усманова И.Н., </w:t>
      </w:r>
      <w:proofErr w:type="spellStart"/>
      <w:r>
        <w:rPr>
          <w:rFonts w:ascii="MyriadPro-SemiCn" w:hAnsi="MyriadPro-SemiCn" w:cs="MyriadPro-SemiCn"/>
          <w:sz w:val="18"/>
          <w:szCs w:val="18"/>
        </w:rPr>
        <w:t>Лакман</w:t>
      </w:r>
      <w:proofErr w:type="spellEnd"/>
      <w:r>
        <w:rPr>
          <w:rFonts w:ascii="MyriadPro-SemiCn" w:hAnsi="MyriadPro-SemiCn" w:cs="MyriadPro-SemiCn"/>
          <w:sz w:val="18"/>
          <w:szCs w:val="18"/>
        </w:rPr>
        <w:t xml:space="preserve"> И.А., Герасимова Л.П., </w:t>
      </w:r>
      <w:proofErr w:type="spellStart"/>
      <w:r>
        <w:rPr>
          <w:rFonts w:ascii="MyriadPro-SemiCn" w:hAnsi="MyriadPro-SemiCn" w:cs="MyriadPro-SemiCn"/>
          <w:sz w:val="18"/>
          <w:szCs w:val="18"/>
        </w:rPr>
        <w:t>Туйгунов</w:t>
      </w:r>
      <w:proofErr w:type="spellEnd"/>
      <w:r>
        <w:rPr>
          <w:rFonts w:ascii="MyriadPro-SemiCn" w:hAnsi="MyriadPro-SemiCn" w:cs="MyriadPro-SemiCn"/>
          <w:sz w:val="18"/>
          <w:szCs w:val="18"/>
        </w:rPr>
        <w:t xml:space="preserve"> М.М., Борцова Ю.Л., Мо-</w:t>
      </w:r>
    </w:p>
    <w:p w14:paraId="36EF9156" w14:textId="77777777" w:rsidR="00B02814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LightSemiCn" w:hAnsi="MyriadPro-LightSemiCn" w:cs="MyriadPro-LightSemiCn"/>
          <w:sz w:val="18"/>
          <w:szCs w:val="18"/>
        </w:rPr>
      </w:pPr>
      <w:r>
        <w:rPr>
          <w:rFonts w:ascii="MyriadPro-SemiCn" w:hAnsi="MyriadPro-SemiCn" w:cs="MyriadPro-SemiCn"/>
          <w:sz w:val="18"/>
          <w:szCs w:val="18"/>
        </w:rPr>
        <w:t xml:space="preserve">чалов К.С., Ахметова Г.М., Григорович Э.Ш., Гурьевская О.А. </w:t>
      </w:r>
      <w:r>
        <w:rPr>
          <w:rFonts w:ascii="MyriadPro-LightSemiCn" w:hAnsi="MyriadPro-LightSemiCn" w:cs="MyriadPro-LightSemiCn"/>
          <w:sz w:val="18"/>
          <w:szCs w:val="18"/>
        </w:rPr>
        <w:t>Оценка риска развития кандидоза</w:t>
      </w:r>
    </w:p>
    <w:p w14:paraId="1FA762AA" w14:textId="77777777" w:rsidR="00B02814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LightSemiCn" w:hAnsi="MyriadPro-LightSemiCn" w:cs="MyriadPro-LightSemiCn"/>
          <w:sz w:val="18"/>
          <w:szCs w:val="18"/>
        </w:rPr>
      </w:pPr>
      <w:r>
        <w:rPr>
          <w:rFonts w:ascii="MyriadPro-LightSemiCn" w:hAnsi="MyriadPro-LightSemiCn" w:cs="MyriadPro-LightSemiCn"/>
          <w:sz w:val="18"/>
          <w:szCs w:val="18"/>
        </w:rPr>
        <w:t xml:space="preserve">полости рта и проявления ксеростомии у пациентов с нарушением углеводного обмена и </w:t>
      </w:r>
      <w:proofErr w:type="spellStart"/>
      <w:r>
        <w:rPr>
          <w:rFonts w:ascii="MyriadPro-LightSemiCn" w:hAnsi="MyriadPro-LightSemiCn" w:cs="MyriadPro-LightSemiCn"/>
          <w:sz w:val="18"/>
          <w:szCs w:val="18"/>
        </w:rPr>
        <w:t>метабо</w:t>
      </w:r>
      <w:proofErr w:type="spellEnd"/>
      <w:r>
        <w:rPr>
          <w:rFonts w:ascii="MyriadPro-LightSemiCn" w:hAnsi="MyriadPro-LightSemiCn" w:cs="MyriadPro-LightSemiCn"/>
          <w:sz w:val="18"/>
          <w:szCs w:val="18"/>
        </w:rPr>
        <w:t>-</w:t>
      </w:r>
    </w:p>
    <w:p w14:paraId="7380E61A" w14:textId="77777777" w:rsidR="00B02814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LightSemiCn" w:hAnsi="MyriadPro-LightSemiCn" w:cs="MyriadPro-LightSemiCn"/>
          <w:sz w:val="18"/>
          <w:szCs w:val="18"/>
        </w:rPr>
      </w:pPr>
      <w:proofErr w:type="spellStart"/>
      <w:r>
        <w:rPr>
          <w:rFonts w:ascii="MyriadPro-LightSemiCn" w:hAnsi="MyriadPro-LightSemiCn" w:cs="MyriadPro-LightSemiCn"/>
          <w:sz w:val="18"/>
          <w:szCs w:val="18"/>
        </w:rPr>
        <w:t>лическим</w:t>
      </w:r>
      <w:proofErr w:type="spellEnd"/>
      <w:r>
        <w:rPr>
          <w:rFonts w:ascii="MyriadPro-LightSemiCn" w:hAnsi="MyriadPro-LightSemiCn" w:cs="MyriadPro-LightSemiCn"/>
          <w:sz w:val="18"/>
          <w:szCs w:val="18"/>
        </w:rPr>
        <w:t xml:space="preserve"> синдромом в зависимости от уровня гликемии. — </w:t>
      </w:r>
      <w:r>
        <w:rPr>
          <w:rFonts w:ascii="MyriadPro-LightSemiCnIt" w:hAnsi="MyriadPro-LightSemiCnIt" w:cs="MyriadPro-LightSemiCnIt"/>
          <w:i/>
          <w:iCs/>
          <w:sz w:val="18"/>
          <w:szCs w:val="18"/>
        </w:rPr>
        <w:t>Клиническая стоматология</w:t>
      </w:r>
      <w:r>
        <w:rPr>
          <w:rFonts w:ascii="MyriadPro-LightSemiCn" w:hAnsi="MyriadPro-LightSemiCn" w:cs="MyriadPro-LightSemiCn"/>
          <w:sz w:val="18"/>
          <w:szCs w:val="18"/>
        </w:rPr>
        <w:t>. — 2025;</w:t>
      </w:r>
    </w:p>
    <w:p w14:paraId="2B83BADA" w14:textId="3F9FD6D7" w:rsidR="00FE6452" w:rsidRDefault="00B02814" w:rsidP="00B02814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8"/>
          <w:szCs w:val="18"/>
        </w:rPr>
      </w:pPr>
      <w:r>
        <w:rPr>
          <w:rFonts w:ascii="MyriadPro-LightSemiCn" w:hAnsi="MyriadPro-LightSemiCn" w:cs="MyriadPro-LightSemiCn"/>
          <w:sz w:val="18"/>
          <w:szCs w:val="18"/>
        </w:rPr>
        <w:t xml:space="preserve">28 (2): 166—171. </w:t>
      </w:r>
      <w:r>
        <w:rPr>
          <w:rFonts w:ascii="MyriadPro-SemiCn" w:hAnsi="MyriadPro-SemiCn" w:cs="MyriadPro-SemiCn"/>
          <w:sz w:val="18"/>
          <w:szCs w:val="18"/>
        </w:rPr>
        <w:t>DOI: 10.37988/1811-153X_2025_2_166</w:t>
      </w:r>
    </w:p>
    <w:p w14:paraId="7201D8A2" w14:textId="4BE0B995" w:rsidR="00416371" w:rsidRDefault="00416371" w:rsidP="00B02814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8"/>
          <w:szCs w:val="18"/>
        </w:rPr>
      </w:pPr>
    </w:p>
    <w:p w14:paraId="073C775A" w14:textId="1DFF3F30" w:rsidR="00416371" w:rsidRPr="00FE6452" w:rsidRDefault="00416371" w:rsidP="00B02814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Игнатьева Л.А.,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Шайхова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Г.С., Васильева АВ. Встречаемость сочетаемых патологий окклюзии с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дисфункцией височно-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нижнечелюстноого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сустава./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Л.Игнатьева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Г.С.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Шайхова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А.В. Васильева // Российская стоматология. -4(17).-2024.-с.66-67</w:t>
      </w:r>
    </w:p>
    <w:sectPr w:rsidR="00416371" w:rsidRPr="00FE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tionKontrastAlt-Regular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Light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LightSemiCnI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9"/>
    <w:rsid w:val="000A2029"/>
    <w:rsid w:val="001120E7"/>
    <w:rsid w:val="0018016D"/>
    <w:rsid w:val="0029264D"/>
    <w:rsid w:val="00416371"/>
    <w:rsid w:val="004E08AC"/>
    <w:rsid w:val="00890F89"/>
    <w:rsid w:val="009F3C65"/>
    <w:rsid w:val="00A333AA"/>
    <w:rsid w:val="00B02814"/>
    <w:rsid w:val="00B3589C"/>
    <w:rsid w:val="00C93BA6"/>
    <w:rsid w:val="00CD6865"/>
    <w:rsid w:val="00F60DF8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431B"/>
  <w15:chartTrackingRefBased/>
  <w15:docId w15:val="{34BD2406-18B2-4952-A94F-238EA04D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6452"/>
    <w:pPr>
      <w:autoSpaceDE w:val="0"/>
      <w:autoSpaceDN w:val="0"/>
      <w:adjustRightInd w:val="0"/>
      <w:spacing w:after="0" w:line="240" w:lineRule="auto"/>
    </w:pPr>
    <w:rPr>
      <w:rFonts w:ascii="BastionKontrastAlt-Regular" w:hAnsi="BastionKontrastAlt-Regular" w:cs="BastionKontrastAlt-Regular"/>
      <w:color w:val="000000"/>
      <w:sz w:val="24"/>
      <w:szCs w:val="24"/>
    </w:rPr>
  </w:style>
  <w:style w:type="character" w:customStyle="1" w:styleId="a3">
    <w:name w:val="Нет"/>
    <w:rsid w:val="00CD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2025-05-06T14:38:00Z</dcterms:created>
  <dcterms:modified xsi:type="dcterms:W3CDTF">2025-07-01T10:27:00Z</dcterms:modified>
</cp:coreProperties>
</file>