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A0" w:rsidRDefault="004136A0" w:rsidP="004136A0">
      <w:pPr>
        <w:pStyle w:val="a3"/>
        <w:rPr>
          <w:sz w:val="28"/>
          <w:szCs w:val="28"/>
        </w:rPr>
      </w:pPr>
      <w:r>
        <w:rPr>
          <w:sz w:val="28"/>
          <w:szCs w:val="28"/>
        </w:rPr>
        <w:t>КАЛЕНДАРНО-ТЕМАТИЧЕСКИЙ ПЛАН</w:t>
      </w:r>
    </w:p>
    <w:p w:rsidR="005B794A" w:rsidRDefault="004136A0" w:rsidP="004136A0">
      <w:pPr>
        <w:autoSpaceDE w:val="0"/>
        <w:autoSpaceDN w:val="0"/>
        <w:adjustRightInd w:val="0"/>
        <w:jc w:val="center"/>
        <w:rPr>
          <w:sz w:val="28"/>
          <w:szCs w:val="28"/>
        </w:rPr>
      </w:pPr>
      <w:r>
        <w:rPr>
          <w:sz w:val="28"/>
          <w:szCs w:val="28"/>
        </w:rPr>
        <w:t xml:space="preserve">лекций по </w:t>
      </w:r>
      <w:r w:rsidR="008D5CA3">
        <w:rPr>
          <w:sz w:val="28"/>
          <w:szCs w:val="28"/>
        </w:rPr>
        <w:t xml:space="preserve">общей </w:t>
      </w:r>
      <w:r>
        <w:rPr>
          <w:sz w:val="28"/>
          <w:szCs w:val="28"/>
        </w:rPr>
        <w:t>фармацевтической технологии  на</w:t>
      </w:r>
      <w:r w:rsidR="00103401">
        <w:rPr>
          <w:sz w:val="28"/>
          <w:szCs w:val="28"/>
        </w:rPr>
        <w:t xml:space="preserve"> </w:t>
      </w:r>
      <w:r>
        <w:rPr>
          <w:sz w:val="28"/>
          <w:szCs w:val="28"/>
          <w:lang w:val="en-US"/>
        </w:rPr>
        <w:t>VI</w:t>
      </w:r>
      <w:r>
        <w:rPr>
          <w:sz w:val="28"/>
          <w:szCs w:val="28"/>
        </w:rPr>
        <w:t xml:space="preserve"> семестр </w:t>
      </w:r>
    </w:p>
    <w:p w:rsidR="004136A0" w:rsidRDefault="004136A0" w:rsidP="004136A0">
      <w:pPr>
        <w:autoSpaceDE w:val="0"/>
        <w:autoSpaceDN w:val="0"/>
        <w:adjustRightInd w:val="0"/>
        <w:jc w:val="center"/>
        <w:rPr>
          <w:b/>
          <w:sz w:val="28"/>
          <w:szCs w:val="28"/>
        </w:rPr>
      </w:pPr>
      <w:r>
        <w:rPr>
          <w:b/>
          <w:sz w:val="28"/>
          <w:szCs w:val="28"/>
        </w:rPr>
        <w:t>202</w:t>
      </w:r>
      <w:r w:rsidR="00103401">
        <w:rPr>
          <w:b/>
          <w:sz w:val="28"/>
          <w:szCs w:val="28"/>
        </w:rPr>
        <w:t>5</w:t>
      </w:r>
      <w:r>
        <w:rPr>
          <w:b/>
          <w:sz w:val="28"/>
          <w:szCs w:val="28"/>
        </w:rPr>
        <w:t>-202</w:t>
      </w:r>
      <w:r w:rsidR="00103401">
        <w:rPr>
          <w:b/>
          <w:sz w:val="28"/>
          <w:szCs w:val="28"/>
        </w:rPr>
        <w:t>6</w:t>
      </w:r>
      <w:r>
        <w:rPr>
          <w:b/>
          <w:sz w:val="28"/>
          <w:szCs w:val="28"/>
        </w:rPr>
        <w:t>уч.г.</w:t>
      </w:r>
      <w:proofErr w:type="gramStart"/>
      <w:r>
        <w:rPr>
          <w:b/>
          <w:sz w:val="28"/>
          <w:szCs w:val="28"/>
        </w:rPr>
        <w:t>г</w:t>
      </w:r>
      <w:proofErr w:type="gramEnd"/>
      <w:r>
        <w:rPr>
          <w:b/>
          <w:sz w:val="28"/>
          <w:szCs w:val="28"/>
        </w:rPr>
        <w:t>.</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6586"/>
        <w:gridCol w:w="2594"/>
      </w:tblGrid>
      <w:tr w:rsidR="004136A0" w:rsidTr="00807CC8">
        <w:trPr>
          <w:trHeight w:val="282"/>
        </w:trPr>
        <w:tc>
          <w:tcPr>
            <w:tcW w:w="540" w:type="dxa"/>
            <w:tcBorders>
              <w:top w:val="single" w:sz="4" w:space="0" w:color="auto"/>
              <w:left w:val="single" w:sz="4" w:space="0" w:color="auto"/>
              <w:bottom w:val="single" w:sz="4" w:space="0" w:color="auto"/>
              <w:right w:val="single" w:sz="4" w:space="0" w:color="auto"/>
            </w:tcBorders>
            <w:hideMark/>
          </w:tcPr>
          <w:p w:rsidR="004136A0" w:rsidRDefault="004136A0" w:rsidP="00103401">
            <w:pPr>
              <w:jc w:val="both"/>
              <w:rPr>
                <w:sz w:val="28"/>
                <w:szCs w:val="28"/>
              </w:rPr>
            </w:pPr>
            <w:r>
              <w:rPr>
                <w:sz w:val="28"/>
                <w:szCs w:val="28"/>
              </w:rPr>
              <w:t xml:space="preserve">№ </w:t>
            </w:r>
          </w:p>
        </w:tc>
        <w:tc>
          <w:tcPr>
            <w:tcW w:w="6586" w:type="dxa"/>
            <w:tcBorders>
              <w:top w:val="single" w:sz="4" w:space="0" w:color="auto"/>
              <w:left w:val="single" w:sz="4" w:space="0" w:color="auto"/>
              <w:bottom w:val="single" w:sz="4" w:space="0" w:color="auto"/>
              <w:right w:val="single" w:sz="4" w:space="0" w:color="auto"/>
            </w:tcBorders>
            <w:hideMark/>
          </w:tcPr>
          <w:p w:rsidR="004136A0" w:rsidRDefault="004136A0" w:rsidP="00807CC8">
            <w:pPr>
              <w:pStyle w:val="1"/>
              <w:rPr>
                <w:szCs w:val="28"/>
              </w:rPr>
            </w:pPr>
            <w:r>
              <w:rPr>
                <w:szCs w:val="28"/>
              </w:rPr>
              <w:t>Тема лекции</w:t>
            </w:r>
          </w:p>
        </w:tc>
        <w:tc>
          <w:tcPr>
            <w:tcW w:w="2594" w:type="dxa"/>
            <w:tcBorders>
              <w:top w:val="single" w:sz="4" w:space="0" w:color="auto"/>
              <w:left w:val="single" w:sz="4" w:space="0" w:color="auto"/>
              <w:bottom w:val="single" w:sz="4" w:space="0" w:color="auto"/>
              <w:right w:val="single" w:sz="4" w:space="0" w:color="auto"/>
            </w:tcBorders>
            <w:hideMark/>
          </w:tcPr>
          <w:p w:rsidR="004136A0" w:rsidRDefault="004136A0" w:rsidP="00807CC8">
            <w:pPr>
              <w:jc w:val="both"/>
              <w:rPr>
                <w:sz w:val="28"/>
                <w:szCs w:val="28"/>
              </w:rPr>
            </w:pPr>
            <w:r>
              <w:rPr>
                <w:sz w:val="28"/>
                <w:szCs w:val="28"/>
              </w:rPr>
              <w:t>Дата проведения</w:t>
            </w:r>
          </w:p>
        </w:tc>
      </w:tr>
      <w:tr w:rsidR="005C79FC" w:rsidTr="005C79FC">
        <w:trPr>
          <w:trHeight w:val="702"/>
        </w:trPr>
        <w:tc>
          <w:tcPr>
            <w:tcW w:w="540" w:type="dxa"/>
            <w:tcBorders>
              <w:top w:val="single" w:sz="4" w:space="0" w:color="auto"/>
              <w:left w:val="single" w:sz="4" w:space="0" w:color="auto"/>
              <w:bottom w:val="single" w:sz="4" w:space="0" w:color="auto"/>
              <w:right w:val="single" w:sz="4" w:space="0" w:color="auto"/>
            </w:tcBorders>
            <w:hideMark/>
          </w:tcPr>
          <w:p w:rsidR="005C79FC" w:rsidRDefault="005C79FC" w:rsidP="005C79FC">
            <w:pPr>
              <w:jc w:val="both"/>
              <w:rPr>
                <w:sz w:val="24"/>
                <w:szCs w:val="24"/>
              </w:rPr>
            </w:pPr>
            <w:r>
              <w:rPr>
                <w:sz w:val="24"/>
                <w:szCs w:val="24"/>
              </w:rPr>
              <w:t>1</w:t>
            </w:r>
          </w:p>
        </w:tc>
        <w:tc>
          <w:tcPr>
            <w:tcW w:w="6586" w:type="dxa"/>
            <w:tcBorders>
              <w:top w:val="single" w:sz="4" w:space="0" w:color="auto"/>
              <w:left w:val="single" w:sz="4" w:space="0" w:color="auto"/>
              <w:bottom w:val="single" w:sz="4" w:space="0" w:color="auto"/>
              <w:right w:val="single" w:sz="4" w:space="0" w:color="auto"/>
            </w:tcBorders>
            <w:hideMark/>
          </w:tcPr>
          <w:p w:rsidR="005C79FC" w:rsidRDefault="005C79FC" w:rsidP="005C79FC">
            <w:pPr>
              <w:jc w:val="both"/>
              <w:rPr>
                <w:sz w:val="24"/>
                <w:szCs w:val="24"/>
              </w:rPr>
            </w:pPr>
            <w:r>
              <w:rPr>
                <w:sz w:val="24"/>
                <w:szCs w:val="24"/>
              </w:rPr>
              <w:t>Мягкие лекарственные формы. Характеристика. Классификация. Линименты как лекарственная форма. Общая характеристика. Классификация. Технология линиментов. Мазевые основы.</w:t>
            </w:r>
          </w:p>
        </w:tc>
        <w:tc>
          <w:tcPr>
            <w:tcW w:w="2594" w:type="dxa"/>
            <w:tcBorders>
              <w:top w:val="single" w:sz="4" w:space="0" w:color="auto"/>
              <w:left w:val="single" w:sz="4" w:space="0" w:color="auto"/>
              <w:bottom w:val="single" w:sz="4" w:space="0" w:color="auto"/>
              <w:right w:val="single" w:sz="4" w:space="0" w:color="auto"/>
            </w:tcBorders>
          </w:tcPr>
          <w:p w:rsidR="005C79FC" w:rsidRDefault="005C79FC" w:rsidP="00103401">
            <w:pPr>
              <w:pStyle w:val="TableParagraph"/>
              <w:rPr>
                <w:sz w:val="24"/>
                <w:szCs w:val="24"/>
              </w:rPr>
            </w:pPr>
            <w:r w:rsidRPr="00CC29A7">
              <w:rPr>
                <w:sz w:val="24"/>
                <w:szCs w:val="24"/>
              </w:rPr>
              <w:t>1</w:t>
            </w:r>
            <w:r w:rsidR="00103401">
              <w:rPr>
                <w:sz w:val="24"/>
                <w:szCs w:val="24"/>
              </w:rPr>
              <w:t>8</w:t>
            </w:r>
            <w:r w:rsidRPr="00CC29A7">
              <w:rPr>
                <w:sz w:val="24"/>
                <w:szCs w:val="24"/>
              </w:rPr>
              <w:t>.02.2</w:t>
            </w:r>
            <w:r w:rsidR="00103401">
              <w:rPr>
                <w:sz w:val="24"/>
                <w:szCs w:val="24"/>
              </w:rPr>
              <w:t>6</w:t>
            </w:r>
          </w:p>
          <w:p w:rsidR="00103401" w:rsidRPr="00CC29A7" w:rsidRDefault="00103401" w:rsidP="00103401">
            <w:pPr>
              <w:pStyle w:val="TableParagraph"/>
              <w:rPr>
                <w:sz w:val="24"/>
                <w:szCs w:val="24"/>
              </w:rPr>
            </w:pPr>
            <w:r>
              <w:rPr>
                <w:sz w:val="24"/>
                <w:szCs w:val="24"/>
              </w:rPr>
              <w:t>2 часа</w:t>
            </w:r>
          </w:p>
        </w:tc>
      </w:tr>
      <w:tr w:rsidR="005C79FC" w:rsidTr="005C79FC">
        <w:trPr>
          <w:trHeight w:val="453"/>
        </w:trPr>
        <w:tc>
          <w:tcPr>
            <w:tcW w:w="540" w:type="dxa"/>
            <w:tcBorders>
              <w:top w:val="single" w:sz="4" w:space="0" w:color="auto"/>
              <w:left w:val="single" w:sz="4" w:space="0" w:color="auto"/>
              <w:bottom w:val="single" w:sz="4" w:space="0" w:color="auto"/>
              <w:right w:val="single" w:sz="4" w:space="0" w:color="auto"/>
            </w:tcBorders>
            <w:hideMark/>
          </w:tcPr>
          <w:p w:rsidR="005C79FC" w:rsidRDefault="005C79FC" w:rsidP="005C79FC">
            <w:pPr>
              <w:jc w:val="both"/>
              <w:rPr>
                <w:sz w:val="24"/>
                <w:szCs w:val="24"/>
              </w:rPr>
            </w:pPr>
            <w:r>
              <w:rPr>
                <w:sz w:val="24"/>
                <w:szCs w:val="24"/>
              </w:rPr>
              <w:t>2</w:t>
            </w:r>
          </w:p>
        </w:tc>
        <w:tc>
          <w:tcPr>
            <w:tcW w:w="6586" w:type="dxa"/>
            <w:tcBorders>
              <w:top w:val="single" w:sz="4" w:space="0" w:color="auto"/>
              <w:left w:val="single" w:sz="4" w:space="0" w:color="auto"/>
              <w:bottom w:val="single" w:sz="4" w:space="0" w:color="auto"/>
              <w:right w:val="single" w:sz="4" w:space="0" w:color="auto"/>
            </w:tcBorders>
            <w:hideMark/>
          </w:tcPr>
          <w:p w:rsidR="005C79FC" w:rsidRDefault="005C79FC" w:rsidP="005C79FC">
            <w:pPr>
              <w:jc w:val="both"/>
              <w:rPr>
                <w:sz w:val="24"/>
                <w:szCs w:val="24"/>
              </w:rPr>
            </w:pPr>
            <w:r>
              <w:rPr>
                <w:sz w:val="24"/>
                <w:szCs w:val="24"/>
              </w:rPr>
              <w:t>Мази как лекарственная форма. Общая характеристика. Классификация. Основные требования. Характеристика основных групп вспомогательных веществ, используемых в изготовлении мазей. Способы введения лекарственных веществ в основы. Мази гомогенные, гетерогенные, особенности технологии. Биофармацевтическая характеристика мазей. Оценка качества. Совершенствование мазей как лекарственной формы</w:t>
            </w:r>
          </w:p>
        </w:tc>
        <w:tc>
          <w:tcPr>
            <w:tcW w:w="2594" w:type="dxa"/>
            <w:tcBorders>
              <w:top w:val="single" w:sz="4" w:space="0" w:color="auto"/>
              <w:left w:val="single" w:sz="4" w:space="0" w:color="auto"/>
              <w:bottom w:val="single" w:sz="4" w:space="0" w:color="auto"/>
              <w:right w:val="single" w:sz="4" w:space="0" w:color="auto"/>
            </w:tcBorders>
          </w:tcPr>
          <w:p w:rsidR="005C79FC" w:rsidRDefault="0013148A" w:rsidP="00103401">
            <w:pPr>
              <w:pStyle w:val="TableParagraph"/>
              <w:rPr>
                <w:sz w:val="24"/>
                <w:szCs w:val="24"/>
              </w:rPr>
            </w:pPr>
            <w:r>
              <w:rPr>
                <w:sz w:val="24"/>
                <w:szCs w:val="24"/>
              </w:rPr>
              <w:t>0</w:t>
            </w:r>
            <w:r w:rsidR="00103401">
              <w:rPr>
                <w:sz w:val="24"/>
                <w:szCs w:val="24"/>
              </w:rPr>
              <w:t>4</w:t>
            </w:r>
            <w:r w:rsidR="005C79FC">
              <w:rPr>
                <w:sz w:val="24"/>
                <w:szCs w:val="24"/>
              </w:rPr>
              <w:t>.0</w:t>
            </w:r>
            <w:r>
              <w:rPr>
                <w:sz w:val="24"/>
                <w:szCs w:val="24"/>
              </w:rPr>
              <w:t>3</w:t>
            </w:r>
            <w:r w:rsidR="005C79FC">
              <w:rPr>
                <w:sz w:val="24"/>
                <w:szCs w:val="24"/>
              </w:rPr>
              <w:t>.2</w:t>
            </w:r>
            <w:r w:rsidR="00103401">
              <w:rPr>
                <w:sz w:val="24"/>
                <w:szCs w:val="24"/>
              </w:rPr>
              <w:t>6</w:t>
            </w:r>
          </w:p>
          <w:p w:rsidR="00103401" w:rsidRPr="00CC29A7" w:rsidRDefault="00103401" w:rsidP="00103401">
            <w:pPr>
              <w:pStyle w:val="TableParagraph"/>
              <w:rPr>
                <w:sz w:val="24"/>
                <w:szCs w:val="24"/>
              </w:rPr>
            </w:pPr>
            <w:r>
              <w:rPr>
                <w:sz w:val="24"/>
                <w:szCs w:val="24"/>
              </w:rPr>
              <w:t>2 часа</w:t>
            </w:r>
          </w:p>
        </w:tc>
      </w:tr>
      <w:tr w:rsidR="000B65C2" w:rsidTr="005C79FC">
        <w:trPr>
          <w:trHeight w:val="1111"/>
        </w:trPr>
        <w:tc>
          <w:tcPr>
            <w:tcW w:w="540"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3</w:t>
            </w:r>
          </w:p>
        </w:tc>
        <w:tc>
          <w:tcPr>
            <w:tcW w:w="6586"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Ректальные лекарственные формы. Классификация. Суппозитории как лекарственная форма. Биофармацевтическая характеристика. Классификация. основные требования. Суппозиторные основы. Классификация. Характеристика основных групп основ. Изготовление суппозиториев методом выкатывания, выливания, прессования.</w:t>
            </w:r>
          </w:p>
        </w:tc>
        <w:tc>
          <w:tcPr>
            <w:tcW w:w="2594" w:type="dxa"/>
            <w:tcBorders>
              <w:top w:val="single" w:sz="4" w:space="0" w:color="auto"/>
              <w:left w:val="single" w:sz="4" w:space="0" w:color="auto"/>
              <w:bottom w:val="single" w:sz="4" w:space="0" w:color="auto"/>
              <w:right w:val="single" w:sz="4" w:space="0" w:color="auto"/>
            </w:tcBorders>
          </w:tcPr>
          <w:p w:rsidR="000B65C2" w:rsidRDefault="000B65C2" w:rsidP="00103401">
            <w:pPr>
              <w:pStyle w:val="TableParagraph"/>
              <w:rPr>
                <w:sz w:val="24"/>
                <w:szCs w:val="24"/>
              </w:rPr>
            </w:pPr>
            <w:r>
              <w:rPr>
                <w:sz w:val="24"/>
                <w:szCs w:val="24"/>
              </w:rPr>
              <w:t>1</w:t>
            </w:r>
            <w:r w:rsidR="00103401">
              <w:rPr>
                <w:sz w:val="24"/>
                <w:szCs w:val="24"/>
              </w:rPr>
              <w:t>8</w:t>
            </w:r>
            <w:r>
              <w:rPr>
                <w:sz w:val="24"/>
                <w:szCs w:val="24"/>
              </w:rPr>
              <w:t>.03.2</w:t>
            </w:r>
            <w:r w:rsidR="00103401">
              <w:rPr>
                <w:sz w:val="24"/>
                <w:szCs w:val="24"/>
              </w:rPr>
              <w:t>6</w:t>
            </w:r>
          </w:p>
          <w:p w:rsidR="00103401" w:rsidRPr="00CC29A7" w:rsidRDefault="00103401" w:rsidP="00103401">
            <w:pPr>
              <w:pStyle w:val="TableParagraph"/>
              <w:rPr>
                <w:sz w:val="24"/>
                <w:szCs w:val="24"/>
              </w:rPr>
            </w:pPr>
            <w:r>
              <w:rPr>
                <w:sz w:val="24"/>
                <w:szCs w:val="24"/>
              </w:rPr>
              <w:t>2 часа</w:t>
            </w:r>
          </w:p>
        </w:tc>
      </w:tr>
      <w:tr w:rsidR="000B65C2" w:rsidTr="005C79FC">
        <w:trPr>
          <w:trHeight w:val="419"/>
        </w:trPr>
        <w:tc>
          <w:tcPr>
            <w:tcW w:w="540"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4</w:t>
            </w:r>
          </w:p>
        </w:tc>
        <w:tc>
          <w:tcPr>
            <w:tcW w:w="6586"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Пилюли как лекарственная форма. Характеристика и роль вспомогательных веществ. Методы получения. Оценка качества.</w:t>
            </w:r>
          </w:p>
        </w:tc>
        <w:tc>
          <w:tcPr>
            <w:tcW w:w="2594" w:type="dxa"/>
            <w:tcBorders>
              <w:top w:val="single" w:sz="4" w:space="0" w:color="auto"/>
              <w:left w:val="single" w:sz="4" w:space="0" w:color="auto"/>
              <w:bottom w:val="single" w:sz="4" w:space="0" w:color="auto"/>
              <w:right w:val="single" w:sz="4" w:space="0" w:color="auto"/>
            </w:tcBorders>
          </w:tcPr>
          <w:p w:rsidR="000B65C2" w:rsidRDefault="000B65C2" w:rsidP="00103401">
            <w:pPr>
              <w:pStyle w:val="TableParagraph"/>
              <w:rPr>
                <w:sz w:val="24"/>
                <w:szCs w:val="24"/>
              </w:rPr>
            </w:pPr>
            <w:r>
              <w:rPr>
                <w:sz w:val="24"/>
                <w:szCs w:val="24"/>
              </w:rPr>
              <w:t>0</w:t>
            </w:r>
            <w:r w:rsidR="00103401">
              <w:rPr>
                <w:sz w:val="24"/>
                <w:szCs w:val="24"/>
              </w:rPr>
              <w:t>1</w:t>
            </w:r>
            <w:r>
              <w:rPr>
                <w:sz w:val="24"/>
                <w:szCs w:val="24"/>
              </w:rPr>
              <w:t>.04.2</w:t>
            </w:r>
            <w:r w:rsidR="00103401">
              <w:rPr>
                <w:sz w:val="24"/>
                <w:szCs w:val="24"/>
              </w:rPr>
              <w:t>6</w:t>
            </w:r>
          </w:p>
          <w:p w:rsidR="00103401" w:rsidRPr="00CC29A7" w:rsidRDefault="00103401" w:rsidP="00103401">
            <w:pPr>
              <w:pStyle w:val="TableParagraph"/>
              <w:rPr>
                <w:sz w:val="24"/>
                <w:szCs w:val="24"/>
              </w:rPr>
            </w:pPr>
            <w:r>
              <w:rPr>
                <w:sz w:val="24"/>
                <w:szCs w:val="24"/>
              </w:rPr>
              <w:t>2 часа</w:t>
            </w:r>
          </w:p>
        </w:tc>
      </w:tr>
      <w:tr w:rsidR="000B65C2" w:rsidTr="005C79FC">
        <w:trPr>
          <w:trHeight w:val="702"/>
        </w:trPr>
        <w:tc>
          <w:tcPr>
            <w:tcW w:w="540"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5</w:t>
            </w:r>
          </w:p>
        </w:tc>
        <w:tc>
          <w:tcPr>
            <w:tcW w:w="6586"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Создание в аптечном учреждении асептических условий. Получение воды для инъекций. Стабилизация растворов для инъекций. Теоретические основы выбора стабилизаторов. Частные случаи стабилизации  инъекционных растворов. Технология инъекционных и инфузионных растворов.</w:t>
            </w:r>
          </w:p>
        </w:tc>
        <w:tc>
          <w:tcPr>
            <w:tcW w:w="2594" w:type="dxa"/>
            <w:tcBorders>
              <w:top w:val="single" w:sz="4" w:space="0" w:color="auto"/>
              <w:left w:val="single" w:sz="4" w:space="0" w:color="auto"/>
              <w:bottom w:val="single" w:sz="4" w:space="0" w:color="auto"/>
              <w:right w:val="single" w:sz="4" w:space="0" w:color="auto"/>
            </w:tcBorders>
          </w:tcPr>
          <w:p w:rsidR="000B65C2" w:rsidRDefault="000B65C2" w:rsidP="00103401">
            <w:pPr>
              <w:pStyle w:val="TableParagraph"/>
              <w:rPr>
                <w:sz w:val="24"/>
                <w:szCs w:val="24"/>
              </w:rPr>
            </w:pPr>
            <w:r>
              <w:rPr>
                <w:sz w:val="24"/>
                <w:szCs w:val="24"/>
              </w:rPr>
              <w:t>1</w:t>
            </w:r>
            <w:r w:rsidR="00103401">
              <w:rPr>
                <w:sz w:val="24"/>
                <w:szCs w:val="24"/>
              </w:rPr>
              <w:t>5</w:t>
            </w:r>
            <w:r>
              <w:rPr>
                <w:sz w:val="24"/>
                <w:szCs w:val="24"/>
              </w:rPr>
              <w:t>.04.2</w:t>
            </w:r>
            <w:r w:rsidR="00103401">
              <w:rPr>
                <w:sz w:val="24"/>
                <w:szCs w:val="24"/>
              </w:rPr>
              <w:t>6</w:t>
            </w:r>
          </w:p>
          <w:p w:rsidR="00103401" w:rsidRPr="00CC29A7" w:rsidRDefault="00103401" w:rsidP="00103401">
            <w:pPr>
              <w:pStyle w:val="TableParagraph"/>
              <w:rPr>
                <w:sz w:val="24"/>
                <w:szCs w:val="24"/>
              </w:rPr>
            </w:pPr>
            <w:r>
              <w:rPr>
                <w:sz w:val="24"/>
                <w:szCs w:val="24"/>
              </w:rPr>
              <w:t>2 часа</w:t>
            </w:r>
          </w:p>
        </w:tc>
      </w:tr>
      <w:tr w:rsidR="000B65C2" w:rsidTr="005C79FC">
        <w:trPr>
          <w:trHeight w:val="702"/>
        </w:trPr>
        <w:tc>
          <w:tcPr>
            <w:tcW w:w="540"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6</w:t>
            </w:r>
          </w:p>
        </w:tc>
        <w:tc>
          <w:tcPr>
            <w:tcW w:w="6586"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Расчёт изотонических концентраций. Лекарственные формы для глаз. Общая характеристика. Классификация. Требования, предъявляемые к глазным лекарственным формам. Технология глазных лекарственных форм в аптечных условиях. Оценка качества. Пути совершенствования глазных лекарственных форм.</w:t>
            </w:r>
          </w:p>
        </w:tc>
        <w:tc>
          <w:tcPr>
            <w:tcW w:w="2594" w:type="dxa"/>
            <w:tcBorders>
              <w:top w:val="single" w:sz="4" w:space="0" w:color="auto"/>
              <w:left w:val="single" w:sz="4" w:space="0" w:color="auto"/>
              <w:bottom w:val="single" w:sz="4" w:space="0" w:color="auto"/>
              <w:right w:val="single" w:sz="4" w:space="0" w:color="auto"/>
            </w:tcBorders>
          </w:tcPr>
          <w:p w:rsidR="000B65C2" w:rsidRDefault="00103401" w:rsidP="00103401">
            <w:pPr>
              <w:pStyle w:val="TableParagraph"/>
              <w:rPr>
                <w:sz w:val="24"/>
                <w:szCs w:val="24"/>
              </w:rPr>
            </w:pPr>
            <w:r>
              <w:rPr>
                <w:sz w:val="24"/>
                <w:szCs w:val="24"/>
              </w:rPr>
              <w:t>29</w:t>
            </w:r>
            <w:r w:rsidR="000B65C2">
              <w:rPr>
                <w:sz w:val="24"/>
                <w:szCs w:val="24"/>
              </w:rPr>
              <w:t>.04.2</w:t>
            </w:r>
            <w:r>
              <w:rPr>
                <w:sz w:val="24"/>
                <w:szCs w:val="24"/>
              </w:rPr>
              <w:t>6</w:t>
            </w:r>
          </w:p>
          <w:p w:rsidR="00103401" w:rsidRPr="00CC29A7" w:rsidRDefault="00103401" w:rsidP="00103401">
            <w:pPr>
              <w:pStyle w:val="TableParagraph"/>
              <w:rPr>
                <w:sz w:val="24"/>
                <w:szCs w:val="24"/>
              </w:rPr>
            </w:pPr>
            <w:r>
              <w:rPr>
                <w:sz w:val="24"/>
                <w:szCs w:val="24"/>
              </w:rPr>
              <w:t>2 часа</w:t>
            </w:r>
          </w:p>
        </w:tc>
      </w:tr>
      <w:tr w:rsidR="000B65C2" w:rsidTr="005C79FC">
        <w:trPr>
          <w:trHeight w:val="340"/>
        </w:trPr>
        <w:tc>
          <w:tcPr>
            <w:tcW w:w="540"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7</w:t>
            </w:r>
          </w:p>
        </w:tc>
        <w:tc>
          <w:tcPr>
            <w:tcW w:w="6586"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Несовместимые сочетания в лекарственных формах.</w:t>
            </w:r>
          </w:p>
        </w:tc>
        <w:tc>
          <w:tcPr>
            <w:tcW w:w="2594" w:type="dxa"/>
            <w:tcBorders>
              <w:top w:val="single" w:sz="4" w:space="0" w:color="auto"/>
              <w:left w:val="single" w:sz="4" w:space="0" w:color="auto"/>
              <w:bottom w:val="single" w:sz="4" w:space="0" w:color="auto"/>
              <w:right w:val="single" w:sz="4" w:space="0" w:color="auto"/>
            </w:tcBorders>
          </w:tcPr>
          <w:p w:rsidR="000B65C2" w:rsidRDefault="00103401" w:rsidP="00103401">
            <w:pPr>
              <w:pStyle w:val="TableParagraph"/>
              <w:rPr>
                <w:sz w:val="24"/>
                <w:szCs w:val="24"/>
              </w:rPr>
            </w:pPr>
            <w:r>
              <w:rPr>
                <w:sz w:val="24"/>
                <w:szCs w:val="24"/>
              </w:rPr>
              <w:t>06</w:t>
            </w:r>
            <w:r w:rsidR="000B65C2">
              <w:rPr>
                <w:sz w:val="24"/>
                <w:szCs w:val="24"/>
              </w:rPr>
              <w:t>.05.2</w:t>
            </w:r>
            <w:r>
              <w:rPr>
                <w:sz w:val="24"/>
                <w:szCs w:val="24"/>
              </w:rPr>
              <w:t>6</w:t>
            </w:r>
          </w:p>
          <w:p w:rsidR="00103401" w:rsidRPr="00CC29A7" w:rsidRDefault="00103401" w:rsidP="00103401">
            <w:pPr>
              <w:pStyle w:val="TableParagraph"/>
              <w:rPr>
                <w:sz w:val="24"/>
                <w:szCs w:val="24"/>
              </w:rPr>
            </w:pPr>
            <w:r>
              <w:rPr>
                <w:sz w:val="24"/>
                <w:szCs w:val="24"/>
              </w:rPr>
              <w:t>2 часа</w:t>
            </w:r>
          </w:p>
        </w:tc>
      </w:tr>
      <w:tr w:rsidR="000B65C2" w:rsidTr="005C79FC">
        <w:trPr>
          <w:trHeight w:val="702"/>
        </w:trPr>
        <w:tc>
          <w:tcPr>
            <w:tcW w:w="540"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8</w:t>
            </w:r>
          </w:p>
        </w:tc>
        <w:tc>
          <w:tcPr>
            <w:tcW w:w="6586" w:type="dxa"/>
            <w:tcBorders>
              <w:top w:val="single" w:sz="4" w:space="0" w:color="auto"/>
              <w:left w:val="single" w:sz="4" w:space="0" w:color="auto"/>
              <w:bottom w:val="single" w:sz="4" w:space="0" w:color="auto"/>
              <w:right w:val="single" w:sz="4" w:space="0" w:color="auto"/>
            </w:tcBorders>
            <w:hideMark/>
          </w:tcPr>
          <w:p w:rsidR="000B65C2" w:rsidRDefault="000B65C2" w:rsidP="005C79FC">
            <w:pPr>
              <w:jc w:val="both"/>
              <w:rPr>
                <w:sz w:val="24"/>
                <w:szCs w:val="24"/>
              </w:rPr>
            </w:pPr>
            <w:r>
              <w:rPr>
                <w:sz w:val="24"/>
                <w:szCs w:val="24"/>
              </w:rPr>
              <w:t>Лекарственные формы, применяемые в ветеринарии. Характеристика. Номенклатура. Особенности технологии специфических лекарственных форм для животных. Совершенствование ветеринарных лекарственных форм. Основные принципы гомеопатии. Гомеопатические средства (эссенции, настойки. Особенности изготовления. Основные принципы гомеопатии (гранулы, порошки, растворы, мази). Гомеопатические средства. Особенности изготовления.</w:t>
            </w:r>
          </w:p>
        </w:tc>
        <w:tc>
          <w:tcPr>
            <w:tcW w:w="2594" w:type="dxa"/>
            <w:tcBorders>
              <w:top w:val="single" w:sz="4" w:space="0" w:color="auto"/>
              <w:left w:val="single" w:sz="4" w:space="0" w:color="auto"/>
              <w:bottom w:val="single" w:sz="4" w:space="0" w:color="auto"/>
              <w:right w:val="single" w:sz="4" w:space="0" w:color="auto"/>
            </w:tcBorders>
          </w:tcPr>
          <w:p w:rsidR="000B65C2" w:rsidRDefault="00103401" w:rsidP="00103401">
            <w:pPr>
              <w:pStyle w:val="TableParagraph"/>
              <w:rPr>
                <w:sz w:val="24"/>
                <w:szCs w:val="24"/>
              </w:rPr>
            </w:pPr>
            <w:r>
              <w:rPr>
                <w:sz w:val="24"/>
                <w:szCs w:val="24"/>
              </w:rPr>
              <w:t>13</w:t>
            </w:r>
            <w:r w:rsidR="000B65C2">
              <w:rPr>
                <w:sz w:val="24"/>
                <w:szCs w:val="24"/>
              </w:rPr>
              <w:t>.05.2</w:t>
            </w:r>
            <w:bookmarkStart w:id="0" w:name="_GoBack"/>
            <w:bookmarkEnd w:id="0"/>
            <w:r>
              <w:rPr>
                <w:sz w:val="24"/>
                <w:szCs w:val="24"/>
              </w:rPr>
              <w:t>6</w:t>
            </w:r>
          </w:p>
          <w:p w:rsidR="00103401" w:rsidRPr="00CC29A7" w:rsidRDefault="00103401" w:rsidP="00103401">
            <w:pPr>
              <w:pStyle w:val="TableParagraph"/>
              <w:rPr>
                <w:sz w:val="24"/>
                <w:szCs w:val="24"/>
              </w:rPr>
            </w:pPr>
          </w:p>
        </w:tc>
      </w:tr>
    </w:tbl>
    <w:p w:rsidR="004136A0" w:rsidRDefault="004136A0" w:rsidP="004136A0">
      <w:pPr>
        <w:pStyle w:val="a3"/>
        <w:rPr>
          <w:sz w:val="28"/>
          <w:szCs w:val="28"/>
        </w:rPr>
      </w:pPr>
    </w:p>
    <w:p w:rsidR="00A22BAD" w:rsidRDefault="004136A0" w:rsidP="008D5CA3">
      <w:pPr>
        <w:jc w:val="both"/>
      </w:pPr>
      <w:r>
        <w:rPr>
          <w:sz w:val="24"/>
          <w:szCs w:val="24"/>
        </w:rPr>
        <w:t>Зав. УМК по фармацевтической технологии доцент                                                                                                   Камаева  С.С.</w:t>
      </w:r>
    </w:p>
    <w:sectPr w:rsidR="00A22BAD" w:rsidSect="00C56B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225F"/>
    <w:rsid w:val="0001225F"/>
    <w:rsid w:val="000B65C2"/>
    <w:rsid w:val="00103401"/>
    <w:rsid w:val="0013148A"/>
    <w:rsid w:val="004136A0"/>
    <w:rsid w:val="005B794A"/>
    <w:rsid w:val="005C79FC"/>
    <w:rsid w:val="008778A9"/>
    <w:rsid w:val="008D5CA3"/>
    <w:rsid w:val="009C55AF"/>
    <w:rsid w:val="009D0A2D"/>
    <w:rsid w:val="00A22BAD"/>
    <w:rsid w:val="00C56B6E"/>
    <w:rsid w:val="00E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6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136A0"/>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36A0"/>
    <w:rPr>
      <w:rFonts w:ascii="Times New Roman" w:eastAsia="Times New Roman" w:hAnsi="Times New Roman" w:cs="Times New Roman"/>
      <w:sz w:val="32"/>
      <w:szCs w:val="20"/>
      <w:lang w:eastAsia="ru-RU"/>
    </w:rPr>
  </w:style>
  <w:style w:type="paragraph" w:styleId="a3">
    <w:name w:val="caption"/>
    <w:basedOn w:val="a"/>
    <w:semiHidden/>
    <w:unhideWhenUsed/>
    <w:qFormat/>
    <w:rsid w:val="004136A0"/>
    <w:pPr>
      <w:tabs>
        <w:tab w:val="left" w:pos="708"/>
      </w:tabs>
      <w:jc w:val="center"/>
    </w:pPr>
    <w:rPr>
      <w:b/>
      <w:sz w:val="24"/>
    </w:rPr>
  </w:style>
  <w:style w:type="table" w:customStyle="1" w:styleId="TableNormal">
    <w:name w:val="Table Normal"/>
    <w:uiPriority w:val="2"/>
    <w:semiHidden/>
    <w:unhideWhenUsed/>
    <w:qFormat/>
    <w:rsid w:val="005C79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79FC"/>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HomeNET</dc:creator>
  <cp:keywords/>
  <dc:description/>
  <cp:lastModifiedBy>User</cp:lastModifiedBy>
  <cp:revision>10</cp:revision>
  <dcterms:created xsi:type="dcterms:W3CDTF">2022-12-14T12:09:00Z</dcterms:created>
  <dcterms:modified xsi:type="dcterms:W3CDTF">2026-01-17T21:12:00Z</dcterms:modified>
</cp:coreProperties>
</file>