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425808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5808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EB737C" w:rsidRPr="00425808">
        <w:rPr>
          <w:rFonts w:ascii="Times New Roman" w:hAnsi="Times New Roman" w:cs="Times New Roman"/>
          <w:sz w:val="24"/>
          <w:szCs w:val="24"/>
        </w:rPr>
        <w:t>36 часов</w:t>
      </w:r>
    </w:p>
    <w:p w:rsidR="009F100C" w:rsidRPr="00425808" w:rsidRDefault="009F100C" w:rsidP="009F100C">
      <w:pPr>
        <w:rPr>
          <w:rFonts w:ascii="Times New Roman" w:hAnsi="Times New Roman" w:cs="Times New Roman"/>
          <w:sz w:val="24"/>
          <w:szCs w:val="24"/>
        </w:rPr>
      </w:pPr>
    </w:p>
    <w:p w:rsidR="008B4252" w:rsidRPr="00425808" w:rsidRDefault="00AC313B" w:rsidP="008B4252">
      <w:pPr>
        <w:pStyle w:val="a3"/>
        <w:ind w:left="1287"/>
        <w:jc w:val="center"/>
        <w:rPr>
          <w:b/>
        </w:rPr>
      </w:pPr>
      <w:r w:rsidRPr="00425808">
        <w:rPr>
          <w:b/>
        </w:rPr>
        <w:t>«</w:t>
      </w:r>
      <w:r w:rsidR="00425808" w:rsidRPr="00425808">
        <w:rPr>
          <w:b/>
          <w:color w:val="000000" w:themeColor="text1"/>
        </w:rPr>
        <w:t>МИОКАРДИТЫ, ИНФЕКЦИОННЫЕ ЭНДОКАРДИТЫ, ПЕРИКАРДИТЫ, МЫШЕЧНЫЕ МОСТИКИ</w:t>
      </w:r>
      <w:r w:rsidRPr="00425808">
        <w:rPr>
          <w:b/>
        </w:rPr>
        <w:t>»</w:t>
      </w:r>
    </w:p>
    <w:p w:rsidR="008B4252" w:rsidRPr="00425808" w:rsidRDefault="008B4252" w:rsidP="008B4252">
      <w:pPr>
        <w:pStyle w:val="a3"/>
        <w:ind w:left="1287"/>
        <w:jc w:val="center"/>
        <w:rPr>
          <w:b/>
        </w:rPr>
      </w:pPr>
    </w:p>
    <w:p w:rsidR="009F100C" w:rsidRPr="0042580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9F100C" w:rsidRPr="0042580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9F100C" w:rsidRPr="0042580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08">
        <w:rPr>
          <w:rFonts w:ascii="Times New Roman" w:hAnsi="Times New Roman" w:cs="Times New Roman"/>
          <w:sz w:val="24"/>
          <w:szCs w:val="24"/>
        </w:rPr>
        <w:t>Примеры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тестов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для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промежуточного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и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итогового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контроля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с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эталонами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ответов</w:t>
      </w:r>
      <w:r w:rsidRPr="0042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эталонов ответов (2-3) </w:t>
      </w:r>
    </w:p>
    <w:p w:rsidR="009F100C" w:rsidRPr="00425808" w:rsidRDefault="009F100C" w:rsidP="009F10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0C" w:rsidRPr="00425808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F100C" w:rsidRPr="00425808" w:rsidRDefault="009F100C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425808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425808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425808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42580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5808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425808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42580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425808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425808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425808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425808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sz w:val="24"/>
          <w:szCs w:val="24"/>
        </w:rPr>
        <w:t>ИТОГОВАЯ</w:t>
      </w:r>
      <w:r w:rsidRPr="00425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425808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425808">
        <w:rPr>
          <w:b/>
        </w:rPr>
        <w:t>Требования</w:t>
      </w:r>
      <w:r w:rsidRPr="00425808">
        <w:rPr>
          <w:b/>
          <w:spacing w:val="-2"/>
        </w:rPr>
        <w:t xml:space="preserve"> </w:t>
      </w:r>
      <w:r w:rsidRPr="00425808">
        <w:rPr>
          <w:b/>
        </w:rPr>
        <w:t>к</w:t>
      </w:r>
      <w:r w:rsidRPr="00425808">
        <w:rPr>
          <w:b/>
          <w:spacing w:val="-4"/>
        </w:rPr>
        <w:t xml:space="preserve"> </w:t>
      </w:r>
      <w:r w:rsidRPr="00425808">
        <w:rPr>
          <w:b/>
        </w:rPr>
        <w:t>итоговой</w:t>
      </w:r>
      <w:r w:rsidRPr="00425808">
        <w:rPr>
          <w:b/>
          <w:spacing w:val="-2"/>
        </w:rPr>
        <w:t xml:space="preserve"> </w:t>
      </w:r>
      <w:r w:rsidRPr="00425808">
        <w:rPr>
          <w:b/>
        </w:rPr>
        <w:t>аттестации</w:t>
      </w:r>
    </w:p>
    <w:p w:rsidR="00EB737C" w:rsidRPr="00425808" w:rsidRDefault="00EB737C" w:rsidP="00EB737C">
      <w:pPr>
        <w:pStyle w:val="a3"/>
        <w:numPr>
          <w:ilvl w:val="0"/>
          <w:numId w:val="6"/>
        </w:numPr>
        <w:jc w:val="both"/>
      </w:pPr>
      <w:r w:rsidRPr="00425808">
        <w:t>Итоговая аттестация по дополнительной профессиональной образовательной программе повышения квалификации «</w:t>
      </w:r>
      <w:r w:rsidR="00425808" w:rsidRPr="00425808">
        <w:rPr>
          <w:bCs/>
        </w:rPr>
        <w:t>Миокардиты, инфекционные эндокардиты, перикардиты, мышечные мостики</w:t>
      </w:r>
      <w:r w:rsidRPr="00425808">
        <w:t>» проводится в виде тестирования, должна выявлять теоретическую и практическую подготовку врача.</w:t>
      </w:r>
    </w:p>
    <w:p w:rsidR="00EB737C" w:rsidRPr="00425808" w:rsidRDefault="00EB737C" w:rsidP="00EB737C">
      <w:pPr>
        <w:pStyle w:val="a3"/>
        <w:numPr>
          <w:ilvl w:val="0"/>
          <w:numId w:val="6"/>
        </w:numPr>
        <w:jc w:val="both"/>
      </w:pPr>
      <w:r w:rsidRPr="00425808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425808" w:rsidRPr="00425808">
        <w:rPr>
          <w:bCs/>
        </w:rPr>
        <w:t>Миокардиты, инфекционные эндокардиты, перикардиты, мышечные мостики</w:t>
      </w:r>
      <w:r w:rsidRPr="00425808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425808" w:rsidRDefault="00EB737C" w:rsidP="00EB737C">
      <w:pPr>
        <w:pStyle w:val="a3"/>
        <w:numPr>
          <w:ilvl w:val="0"/>
          <w:numId w:val="6"/>
        </w:numPr>
        <w:jc w:val="both"/>
      </w:pPr>
      <w:r w:rsidRPr="00425808">
        <w:t>Лица, освоившие дополнительную профессиональную образовательную программу повышения квалификации «</w:t>
      </w:r>
      <w:r w:rsidR="00425808" w:rsidRPr="00425808">
        <w:rPr>
          <w:bCs/>
        </w:rPr>
        <w:t>Миокардиты, инфекционные эндокардиты, перикардиты, мышечные мостики</w:t>
      </w:r>
      <w:r w:rsidRPr="00425808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425808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425808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B6858" w:rsidRPr="00425808" w:rsidRDefault="008B6858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9F100C" w:rsidRPr="00425808" w:rsidRDefault="009F100C" w:rsidP="009F100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829"/>
      </w:tblGrid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1. </w:t>
            </w:r>
            <w:r w:rsidRPr="00425808">
              <w:rPr>
                <w:rFonts w:ascii="Times New Roman" w:hAnsi="Times New Roman" w:cs="Times New Roman"/>
                <w:b/>
                <w:sz w:val="24"/>
                <w:szCs w:val="24"/>
              </w:rPr>
              <w:t>Миокардиты, перикардиты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08" w:rsidRPr="00425808" w:rsidRDefault="00425808" w:rsidP="00007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>Миокардиты. Этиология, патогенез, критерии диагностики. Оценка лабораторных показателей.</w:t>
            </w:r>
            <w:r w:rsidRPr="0042580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сердечно-сосудистых осложнений. </w:t>
            </w: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 xml:space="preserve">Диета, режим физической активности. Медикаментозная терапия. 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08" w:rsidRPr="00425808" w:rsidRDefault="00425808" w:rsidP="000076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>Перикардиты. Этиология, патогенез, критерии диагностики. Оценка лабораторных показателей.</w:t>
            </w:r>
            <w:r w:rsidRPr="0042580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сердечно-сосудистых осложнений. </w:t>
            </w: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 xml:space="preserve">Диета, режим физической активности. Медикаментозная терапия. 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 2. </w:t>
            </w:r>
            <w:r w:rsidRPr="00425808">
              <w:rPr>
                <w:rFonts w:ascii="Times New Roman" w:hAnsi="Times New Roman" w:cs="Times New Roman"/>
                <w:b/>
                <w:sz w:val="24"/>
                <w:szCs w:val="24"/>
              </w:rPr>
              <w:t>Эндокардиты, мышечные мостики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08" w:rsidRPr="00425808" w:rsidRDefault="00425808" w:rsidP="000076A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>Эндокардиты. Этиология, патогенез, критерии диагностики. Оценка лабораторных показателей.</w:t>
            </w:r>
            <w:r w:rsidRPr="0042580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сердечно-сосудистых осложнений. </w:t>
            </w: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 xml:space="preserve">Диета, режим физической активности. Медикаментозная терапия. </w:t>
            </w:r>
          </w:p>
        </w:tc>
      </w:tr>
      <w:tr w:rsidR="00425808" w:rsidRPr="00425808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08" w:rsidRPr="00425808" w:rsidRDefault="00425808" w:rsidP="00C37032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08" w:rsidRPr="00425808" w:rsidRDefault="00425808" w:rsidP="000076A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>Мышечные мостики. Этиология, патогенез, критерии диагностики. Оценка лабораторных показателей.</w:t>
            </w:r>
            <w:r w:rsidRPr="0042580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сердечно-сосудистых осложнений. </w:t>
            </w:r>
            <w:r w:rsidRPr="00425808">
              <w:rPr>
                <w:rFonts w:ascii="Times New Roman" w:hAnsi="Times New Roman" w:cs="Times New Roman"/>
                <w:sz w:val="24"/>
                <w:szCs w:val="24"/>
              </w:rPr>
              <w:t xml:space="preserve">Диета, режим физической активности. Медикаментозная терапия. </w:t>
            </w:r>
          </w:p>
        </w:tc>
      </w:tr>
    </w:tbl>
    <w:p w:rsidR="009F100C" w:rsidRPr="00425808" w:rsidRDefault="009F100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37C" w:rsidRPr="00425808" w:rsidRDefault="00EB737C" w:rsidP="00F075EB">
      <w:pPr>
        <w:rPr>
          <w:rFonts w:ascii="Times New Roman" w:hAnsi="Times New Roman" w:cs="Times New Roman"/>
          <w:b/>
          <w:sz w:val="24"/>
          <w:szCs w:val="24"/>
        </w:rPr>
      </w:pPr>
      <w:r w:rsidRPr="00425808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425808" w:rsidRDefault="00EB737C" w:rsidP="00EB737C">
      <w:pPr>
        <w:pStyle w:val="a6"/>
        <w:spacing w:line="274" w:lineRule="exact"/>
        <w:jc w:val="both"/>
      </w:pPr>
      <w:r w:rsidRPr="00425808">
        <w:t>1</w:t>
      </w:r>
      <w:r w:rsidRPr="00425808">
        <w:rPr>
          <w:highlight w:val="yellow"/>
        </w:rPr>
        <w:t xml:space="preserve">.    </w:t>
      </w:r>
      <w:r w:rsidRPr="00425808">
        <w:rPr>
          <w:spacing w:val="21"/>
          <w:highlight w:val="yellow"/>
        </w:rPr>
        <w:t xml:space="preserve"> </w:t>
      </w:r>
      <w:r w:rsidRPr="00425808">
        <w:rPr>
          <w:highlight w:val="yellow"/>
        </w:rPr>
        <w:t>Примеры</w:t>
      </w:r>
      <w:r w:rsidRPr="00425808">
        <w:rPr>
          <w:spacing w:val="-2"/>
          <w:highlight w:val="yellow"/>
        </w:rPr>
        <w:t xml:space="preserve"> </w:t>
      </w:r>
      <w:r w:rsidRPr="00425808">
        <w:rPr>
          <w:highlight w:val="yellow"/>
        </w:rPr>
        <w:t>тестов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для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промежуточного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и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итогового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контроля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с</w:t>
      </w:r>
      <w:r w:rsidRPr="00425808">
        <w:rPr>
          <w:spacing w:val="-2"/>
          <w:highlight w:val="yellow"/>
        </w:rPr>
        <w:t xml:space="preserve"> </w:t>
      </w:r>
      <w:r w:rsidRPr="00425808">
        <w:rPr>
          <w:highlight w:val="yellow"/>
        </w:rPr>
        <w:t>эталонами</w:t>
      </w:r>
      <w:r w:rsidRPr="00425808">
        <w:rPr>
          <w:spacing w:val="-1"/>
          <w:highlight w:val="yellow"/>
        </w:rPr>
        <w:t xml:space="preserve"> </w:t>
      </w:r>
      <w:r w:rsidRPr="00425808">
        <w:rPr>
          <w:highlight w:val="yellow"/>
        </w:rPr>
        <w:t>ответов:</w:t>
      </w:r>
    </w:p>
    <w:p w:rsidR="00EB737C" w:rsidRPr="00425808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425808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4258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42580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один</w:t>
      </w:r>
      <w:r w:rsidRPr="004258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42580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425808" w:rsidRPr="00425808" w:rsidRDefault="00425808" w:rsidP="00425808">
      <w:pPr>
        <w:pStyle w:val="a6"/>
        <w:spacing w:line="274" w:lineRule="exact"/>
        <w:jc w:val="both"/>
      </w:pPr>
      <w:r w:rsidRPr="00425808">
        <w:t xml:space="preserve">.    </w:t>
      </w:r>
      <w:r w:rsidRPr="00425808">
        <w:rPr>
          <w:spacing w:val="21"/>
        </w:rPr>
        <w:t xml:space="preserve"> </w:t>
      </w:r>
      <w:r w:rsidRPr="00425808">
        <w:t>Примеры</w:t>
      </w:r>
      <w:r w:rsidRPr="00425808">
        <w:rPr>
          <w:spacing w:val="-2"/>
        </w:rPr>
        <w:t xml:space="preserve"> </w:t>
      </w:r>
      <w:r w:rsidRPr="00425808">
        <w:t>тестов</w:t>
      </w:r>
      <w:r w:rsidRPr="00425808">
        <w:rPr>
          <w:spacing w:val="-1"/>
        </w:rPr>
        <w:t xml:space="preserve"> </w:t>
      </w:r>
      <w:r w:rsidRPr="00425808">
        <w:t>для</w:t>
      </w:r>
      <w:r w:rsidRPr="00425808">
        <w:rPr>
          <w:spacing w:val="-1"/>
        </w:rPr>
        <w:t xml:space="preserve"> </w:t>
      </w:r>
      <w:r w:rsidRPr="00425808">
        <w:t>промежуточного</w:t>
      </w:r>
      <w:r w:rsidRPr="00425808">
        <w:rPr>
          <w:spacing w:val="-1"/>
        </w:rPr>
        <w:t xml:space="preserve"> </w:t>
      </w:r>
      <w:r w:rsidRPr="00425808">
        <w:t>и</w:t>
      </w:r>
      <w:r w:rsidRPr="00425808">
        <w:rPr>
          <w:spacing w:val="-1"/>
        </w:rPr>
        <w:t xml:space="preserve"> </w:t>
      </w:r>
      <w:r w:rsidRPr="00425808">
        <w:t>итогового</w:t>
      </w:r>
      <w:r w:rsidRPr="00425808">
        <w:rPr>
          <w:spacing w:val="-1"/>
        </w:rPr>
        <w:t xml:space="preserve"> </w:t>
      </w:r>
      <w:r w:rsidRPr="00425808">
        <w:t>контроля</w:t>
      </w:r>
      <w:r w:rsidRPr="00425808">
        <w:rPr>
          <w:spacing w:val="-1"/>
        </w:rPr>
        <w:t xml:space="preserve"> </w:t>
      </w:r>
      <w:r w:rsidRPr="00425808">
        <w:t>с</w:t>
      </w:r>
      <w:r w:rsidRPr="00425808">
        <w:rPr>
          <w:spacing w:val="-2"/>
        </w:rPr>
        <w:t xml:space="preserve"> </w:t>
      </w:r>
      <w:r w:rsidRPr="00425808">
        <w:t>эталонами</w:t>
      </w:r>
      <w:r w:rsidRPr="00425808">
        <w:rPr>
          <w:spacing w:val="-1"/>
        </w:rPr>
        <w:t xml:space="preserve"> </w:t>
      </w:r>
      <w:r w:rsidRPr="00425808">
        <w:t>ответов:</w:t>
      </w:r>
    </w:p>
    <w:p w:rsidR="00425808" w:rsidRPr="00425808" w:rsidRDefault="00425808" w:rsidP="00425808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425808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4258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42580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один</w:t>
      </w:r>
      <w:r w:rsidRPr="0042580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42580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425808" w:rsidRPr="00425808" w:rsidRDefault="00425808" w:rsidP="00425808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425808" w:rsidRPr="00425808" w:rsidRDefault="00425808" w:rsidP="00425808">
      <w:pPr>
        <w:rPr>
          <w:rFonts w:ascii="Times New Roman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sz w:val="24"/>
          <w:szCs w:val="24"/>
        </w:rPr>
        <w:t>1.01. Какое из исследований является «золотым стандартом» при диагностике миокардита:</w:t>
      </w:r>
    </w:p>
    <w:p w:rsidR="00425808" w:rsidRPr="00425808" w:rsidRDefault="00425808" w:rsidP="00425808">
      <w:pPr>
        <w:pStyle w:val="a3"/>
        <w:numPr>
          <w:ilvl w:val="0"/>
          <w:numId w:val="11"/>
        </w:numPr>
      </w:pPr>
      <w:proofErr w:type="spellStart"/>
      <w:r w:rsidRPr="00425808">
        <w:t>эндомиокардиальная</w:t>
      </w:r>
      <w:proofErr w:type="spellEnd"/>
      <w:r w:rsidRPr="00425808">
        <w:t xml:space="preserve"> биопсия</w:t>
      </w:r>
    </w:p>
    <w:p w:rsidR="00425808" w:rsidRPr="00425808" w:rsidRDefault="00425808" w:rsidP="00425808">
      <w:pPr>
        <w:pStyle w:val="a3"/>
        <w:numPr>
          <w:ilvl w:val="0"/>
          <w:numId w:val="11"/>
        </w:numPr>
      </w:pPr>
      <w:proofErr w:type="spellStart"/>
      <w:r w:rsidRPr="00425808">
        <w:t>сцинтиграфия</w:t>
      </w:r>
      <w:proofErr w:type="spellEnd"/>
      <w:r w:rsidRPr="00425808">
        <w:t xml:space="preserve"> миокарда</w:t>
      </w:r>
    </w:p>
    <w:p w:rsidR="00425808" w:rsidRPr="00425808" w:rsidRDefault="00425808" w:rsidP="00425808">
      <w:pPr>
        <w:pStyle w:val="a3"/>
        <w:numPr>
          <w:ilvl w:val="0"/>
          <w:numId w:val="11"/>
        </w:numPr>
      </w:pPr>
      <w:r w:rsidRPr="00425808">
        <w:t>эхокардиография</w:t>
      </w:r>
    </w:p>
    <w:p w:rsidR="00425808" w:rsidRPr="00425808" w:rsidRDefault="00425808" w:rsidP="00425808">
      <w:pPr>
        <w:pStyle w:val="a3"/>
        <w:numPr>
          <w:ilvl w:val="0"/>
          <w:numId w:val="11"/>
        </w:numPr>
      </w:pPr>
      <w:r w:rsidRPr="00425808">
        <w:t>контрастная МСКТ-ангиография</w:t>
      </w:r>
    </w:p>
    <w:p w:rsidR="00425808" w:rsidRPr="00425808" w:rsidRDefault="00425808" w:rsidP="00425808">
      <w:pPr>
        <w:pStyle w:val="a3"/>
        <w:numPr>
          <w:ilvl w:val="0"/>
          <w:numId w:val="11"/>
        </w:numPr>
      </w:pPr>
      <w:proofErr w:type="spellStart"/>
      <w:r w:rsidRPr="00425808">
        <w:t>коронарография</w:t>
      </w:r>
      <w:proofErr w:type="spellEnd"/>
    </w:p>
    <w:p w:rsidR="00425808" w:rsidRPr="00425808" w:rsidRDefault="00425808" w:rsidP="00425808">
      <w:pPr>
        <w:pStyle w:val="a3"/>
      </w:pPr>
      <w:r w:rsidRPr="00425808">
        <w:t>Эталонный ответ: 1</w:t>
      </w:r>
    </w:p>
    <w:p w:rsidR="00425808" w:rsidRPr="00425808" w:rsidRDefault="00425808" w:rsidP="00425808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425808" w:rsidRPr="00425808" w:rsidRDefault="00425808" w:rsidP="0042580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5808">
        <w:rPr>
          <w:rFonts w:ascii="Times New Roman" w:eastAsia="Calibri" w:hAnsi="Times New Roman" w:cs="Times New Roman"/>
          <w:sz w:val="24"/>
          <w:szCs w:val="24"/>
        </w:rPr>
        <w:t>1.02. Наиболее частая причина миокардитов – инфекции:</w:t>
      </w:r>
    </w:p>
    <w:p w:rsidR="00425808" w:rsidRPr="00425808" w:rsidRDefault="00425808" w:rsidP="00425808">
      <w:pPr>
        <w:pStyle w:val="a3"/>
        <w:numPr>
          <w:ilvl w:val="0"/>
          <w:numId w:val="12"/>
        </w:numPr>
        <w:rPr>
          <w:rFonts w:eastAsia="Calibri"/>
        </w:rPr>
      </w:pPr>
      <w:r w:rsidRPr="00425808">
        <w:rPr>
          <w:rFonts w:eastAsia="Calibri"/>
        </w:rPr>
        <w:t>Вирусные</w:t>
      </w:r>
    </w:p>
    <w:p w:rsidR="00425808" w:rsidRPr="00425808" w:rsidRDefault="00425808" w:rsidP="00425808">
      <w:pPr>
        <w:pStyle w:val="a3"/>
        <w:numPr>
          <w:ilvl w:val="0"/>
          <w:numId w:val="12"/>
        </w:numPr>
        <w:rPr>
          <w:rFonts w:eastAsia="Calibri"/>
        </w:rPr>
      </w:pPr>
      <w:r w:rsidRPr="00425808">
        <w:rPr>
          <w:rFonts w:eastAsia="Calibri"/>
        </w:rPr>
        <w:t>Бактериальные</w:t>
      </w:r>
    </w:p>
    <w:p w:rsidR="00425808" w:rsidRPr="00425808" w:rsidRDefault="00425808" w:rsidP="00425808">
      <w:pPr>
        <w:pStyle w:val="a3"/>
        <w:numPr>
          <w:ilvl w:val="0"/>
          <w:numId w:val="12"/>
        </w:numPr>
        <w:rPr>
          <w:rFonts w:eastAsia="Calibri"/>
        </w:rPr>
      </w:pPr>
      <w:r w:rsidRPr="00425808">
        <w:rPr>
          <w:rFonts w:eastAsia="Calibri"/>
        </w:rPr>
        <w:t>Риккетсиозы</w:t>
      </w:r>
    </w:p>
    <w:p w:rsidR="00425808" w:rsidRPr="00425808" w:rsidRDefault="00425808" w:rsidP="00425808">
      <w:pPr>
        <w:pStyle w:val="a3"/>
        <w:numPr>
          <w:ilvl w:val="0"/>
          <w:numId w:val="12"/>
        </w:numPr>
        <w:rPr>
          <w:rFonts w:eastAsia="Calibri"/>
        </w:rPr>
      </w:pPr>
      <w:r w:rsidRPr="00425808">
        <w:rPr>
          <w:rFonts w:eastAsia="Calibri"/>
        </w:rPr>
        <w:t>Протозойные</w:t>
      </w:r>
    </w:p>
    <w:p w:rsidR="00425808" w:rsidRPr="00425808" w:rsidRDefault="00425808" w:rsidP="00425808">
      <w:pPr>
        <w:pStyle w:val="a3"/>
        <w:numPr>
          <w:ilvl w:val="0"/>
          <w:numId w:val="12"/>
        </w:numPr>
        <w:rPr>
          <w:rFonts w:eastAsia="Calibri"/>
        </w:rPr>
      </w:pPr>
      <w:r w:rsidRPr="00425808">
        <w:rPr>
          <w:rFonts w:eastAsia="Calibri"/>
        </w:rPr>
        <w:t>Паразитарные</w:t>
      </w:r>
    </w:p>
    <w:p w:rsidR="00425808" w:rsidRPr="00425808" w:rsidRDefault="00425808" w:rsidP="00425808">
      <w:pPr>
        <w:pStyle w:val="a3"/>
        <w:rPr>
          <w:rFonts w:eastAsia="Calibri"/>
        </w:rPr>
      </w:pPr>
      <w:r w:rsidRPr="00425808">
        <w:rPr>
          <w:rFonts w:eastAsia="Calibri"/>
        </w:rPr>
        <w:t>Эталонный ответ: 1</w:t>
      </w:r>
    </w:p>
    <w:p w:rsidR="00425808" w:rsidRPr="00425808" w:rsidRDefault="00425808" w:rsidP="00425808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8B6858" w:rsidRPr="00425808" w:rsidRDefault="008B6858" w:rsidP="008B685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B4252" w:rsidRPr="00425808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425808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425808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425808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425808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425808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тестирования.</w:t>
      </w:r>
      <w:r w:rsidRPr="0042580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Оценка</w:t>
      </w:r>
      <w:r w:rsidRPr="0042580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выставляется</w:t>
      </w:r>
      <w:r w:rsidRPr="0042580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42580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доле</w:t>
      </w:r>
      <w:r w:rsidRPr="0042580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правильных</w:t>
      </w:r>
      <w:r w:rsidRPr="0042580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ответов:</w:t>
      </w:r>
      <w:r w:rsidRPr="00425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70-100%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–</w:t>
      </w:r>
      <w:r w:rsidRPr="004258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70%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правильных</w:t>
      </w:r>
      <w:r w:rsidRPr="004258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ответов</w:t>
      </w:r>
      <w:r w:rsidRPr="004258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–</w:t>
      </w:r>
      <w:r w:rsidRPr="004258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«не</w:t>
      </w:r>
      <w:r w:rsidRPr="00425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5808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425808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425808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808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425808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425808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425808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425808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4258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425808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58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425808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425808" w:rsidRDefault="00286CEF" w:rsidP="009F100C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25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42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5096"/>
    <w:multiLevelType w:val="hybridMultilevel"/>
    <w:tmpl w:val="820E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40F01"/>
    <w:multiLevelType w:val="hybridMultilevel"/>
    <w:tmpl w:val="BD2C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1F62"/>
    <w:multiLevelType w:val="hybridMultilevel"/>
    <w:tmpl w:val="417A4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237C00"/>
    <w:multiLevelType w:val="hybridMultilevel"/>
    <w:tmpl w:val="4812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72C01"/>
    <w:multiLevelType w:val="hybridMultilevel"/>
    <w:tmpl w:val="B5B6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8"/>
  </w:num>
  <w:num w:numId="5">
    <w:abstractNumId w:val="1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0076A8"/>
    <w:rsid w:val="000A3A3B"/>
    <w:rsid w:val="00286CEF"/>
    <w:rsid w:val="003100D4"/>
    <w:rsid w:val="00366769"/>
    <w:rsid w:val="00425808"/>
    <w:rsid w:val="004450A8"/>
    <w:rsid w:val="00515B65"/>
    <w:rsid w:val="005F57A0"/>
    <w:rsid w:val="006B64F6"/>
    <w:rsid w:val="007E20D9"/>
    <w:rsid w:val="008146B2"/>
    <w:rsid w:val="00870497"/>
    <w:rsid w:val="008B4252"/>
    <w:rsid w:val="008B6858"/>
    <w:rsid w:val="00922701"/>
    <w:rsid w:val="009F100C"/>
    <w:rsid w:val="00A86DFD"/>
    <w:rsid w:val="00AC313B"/>
    <w:rsid w:val="00B531AF"/>
    <w:rsid w:val="00C24F0C"/>
    <w:rsid w:val="00DF6BE2"/>
    <w:rsid w:val="00E6233C"/>
    <w:rsid w:val="00EB737C"/>
    <w:rsid w:val="00F075EB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5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2025-05-21T15:50:00Z</dcterms:created>
  <dcterms:modified xsi:type="dcterms:W3CDTF">2025-05-21T15:50:00Z</dcterms:modified>
</cp:coreProperties>
</file>