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240" w:after="24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Информационный листок пациента</w:t>
      </w:r>
    </w:p>
    <w:tbl>
      <w:tblPr>
        <w:tblW w:w="988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6236"/>
      </w:tblGrid>
      <w:tr>
        <w:trPr/>
        <w:tc>
          <w:tcPr>
            <w:tcW w:w="3653" w:type="dxa"/>
            <w:tcBorders/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Название исследования: </w:t>
            </w:r>
          </w:p>
        </w:tc>
        <w:tc>
          <w:tcPr>
            <w:tcW w:w="6236" w:type="dxa"/>
            <w:tcBorders/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653" w:type="dxa"/>
            <w:tcBorders/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ФИО исследователей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6" w:type="dxa"/>
            <w:tcBorders/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40" w:after="120"/>
        <w:jc w:val="both"/>
        <w:rPr/>
      </w:pPr>
      <w:r>
        <w:rPr/>
        <w:t>Индивидуальный идентификационный код пациента:</w:t>
      </w:r>
    </w:p>
    <w:tbl>
      <w:tblPr>
        <w:tblW w:w="1045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"/>
        <w:gridCol w:w="314"/>
        <w:gridCol w:w="315"/>
        <w:gridCol w:w="9"/>
        <w:gridCol w:w="308"/>
        <w:gridCol w:w="317"/>
        <w:gridCol w:w="317"/>
        <w:gridCol w:w="316"/>
        <w:gridCol w:w="317"/>
        <w:gridCol w:w="317"/>
        <w:gridCol w:w="317"/>
        <w:gridCol w:w="317"/>
        <w:gridCol w:w="317"/>
        <w:gridCol w:w="317"/>
        <w:gridCol w:w="318"/>
        <w:gridCol w:w="317"/>
        <w:gridCol w:w="317"/>
        <w:gridCol w:w="320"/>
        <w:gridCol w:w="317"/>
        <w:gridCol w:w="317"/>
        <w:gridCol w:w="316"/>
        <w:gridCol w:w="317"/>
        <w:gridCol w:w="317"/>
        <w:gridCol w:w="317"/>
        <w:gridCol w:w="337"/>
        <w:gridCol w:w="297"/>
        <w:gridCol w:w="317"/>
        <w:gridCol w:w="316"/>
        <w:gridCol w:w="317"/>
        <w:gridCol w:w="317"/>
        <w:gridCol w:w="317"/>
        <w:gridCol w:w="317"/>
        <w:gridCol w:w="317"/>
        <w:gridCol w:w="320"/>
      </w:tblGrid>
      <w:tr>
        <w:trPr/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809" w:hRule="atLeast"/>
        </w:trPr>
        <w:tc>
          <w:tcPr>
            <w:tcW w:w="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2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tabs>
                <w:tab w:val="clear" w:pos="708"/>
                <w:tab w:val="left" w:pos="-360" w:leader="none"/>
                <w:tab w:val="left" w:pos="699" w:leader="none"/>
                <w:tab w:val="right" w:pos="9072" w:leader="none"/>
              </w:tabs>
              <w:autoSpaceDE w:val="false"/>
              <w:snapToGrid w:val="false"/>
              <w:spacing w:before="48" w:after="0"/>
              <w:ind w:left="-66" w:right="56" w:hanging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tabs>
                <w:tab w:val="clear" w:pos="708"/>
                <w:tab w:val="left" w:pos="-272" w:leader="none"/>
                <w:tab w:val="right" w:pos="9072" w:leader="none"/>
              </w:tabs>
              <w:autoSpaceDE w:val="false"/>
              <w:snapToGrid w:val="false"/>
              <w:spacing w:before="48"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Text"/>
              <w:tabs>
                <w:tab w:val="clear" w:pos="708"/>
                <w:tab w:val="left" w:pos="-360" w:leader="none"/>
                <w:tab w:val="right" w:pos="9072" w:leader="none"/>
              </w:tabs>
              <w:autoSpaceDE w:val="false"/>
              <w:snapToGrid w:val="false"/>
              <w:spacing w:before="48" w:after="0"/>
              <w:ind w:right="176" w:hanging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pStyle w:val="Normal"/>
        <w:spacing w:lineRule="auto" w:line="240" w:before="120" w:after="12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en-US"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 w:eastAsia="ru-RU"/>
        </w:rPr>
      </w:r>
    </w:p>
    <w:p>
      <w:pPr>
        <w:pStyle w:val="Normal"/>
        <w:spacing w:lineRule="auto" w:line="240" w:before="120" w:after="12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Уважаемый пациент!</w:t>
      </w:r>
    </w:p>
    <w:p>
      <w:pPr>
        <w:pStyle w:val="Normal"/>
        <w:spacing w:lineRule="auto" w:line="240" w:before="120" w:after="12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Мы приглашаем Вас принять участие в нашем научном исследовании, которое организовано на кафедре____________ казанского государственного медицинского университета под руководством профессора_______________</w:t>
      </w:r>
    </w:p>
    <w:p>
      <w:pPr>
        <w:pStyle w:val="Normal"/>
        <w:spacing w:lineRule="auto" w:line="240" w:before="120" w:after="12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Пожалуйста, внимательно прочитайте данную информацию.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 w:eastAsia="ru-RU"/>
        </w:rPr>
        <w:t xml:space="preserve">Вам предлагается принять участие в научном исследовании заболевания, которое есть у вас. 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связанными с участием в исследовании. </w:t>
      </w:r>
      <w:r>
        <w:rPr>
          <w:rFonts w:eastAsia="Times New Roman"/>
          <w:sz w:val="24"/>
          <w:szCs w:val="24"/>
          <w:lang w:val="ru-RU" w:eastAsia="ru-RU"/>
        </w:rPr>
        <w:t xml:space="preserve">Не торопитесь принимать решение. </w:t>
      </w:r>
      <w:r>
        <w:rPr>
          <w:sz w:val="24"/>
          <w:szCs w:val="24"/>
          <w:lang w:val="ru-RU" w:eastAsia="ru-RU"/>
        </w:rPr>
        <w:t xml:space="preserve">Внимательно прочитайте данный документ. </w:t>
      </w:r>
      <w:r>
        <w:rPr>
          <w:rFonts w:eastAsia="Times New Roman"/>
          <w:sz w:val="24"/>
          <w:szCs w:val="24"/>
          <w:lang w:val="ru-RU" w:eastAsia="ru-RU"/>
        </w:rPr>
        <w:t>При желании обсудите вопрос участия в исследовании с Вашим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домой неподписанный экземпляр этого документа, чтобы еще раз его прочитать. Не спешите, подумайте, при желании обсудите с близкими перед тем, как принимать решение. Участие в научном исследовании не является частью стандартной медицинской помощи.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ОБЩАЯ ИНФОРМАЦИЯ ОБ ИССЛЕДОВАНИИ И ИСПОЛЬЗУЕМЫХ В ХОДЕ ИССЛЕДОВАНИЯ ЛЕКАРСТВЕННЫХ ПРЕПАРАТАХ</w:t>
      </w:r>
    </w:p>
    <w:p>
      <w:pPr>
        <w:pStyle w:val="TableText"/>
        <w:keepNext w:val="false"/>
        <w:spacing w:before="120" w:after="120"/>
        <w:ind w:firstLine="709"/>
        <w:jc w:val="both"/>
        <w:rPr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Научное </w:t>
      </w:r>
      <w:r>
        <w:rPr>
          <w:sz w:val="24"/>
          <w:szCs w:val="24"/>
          <w:lang w:val="ru-RU" w:eastAsia="ru-RU"/>
        </w:rPr>
        <w:t xml:space="preserve">исследования выполняются для более полного и точного понимания механизмов заболевания, для установления новых маркеров заболевания, апробации методов их определения, что даст возможность для разработки новых методов лечения. 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Цель нашего научного исследования – изучить активность ацетилхолинэстеразы в плазме крови и слюне у больных боковым амиотрофическим склерозом. </w:t>
      </w:r>
    </w:p>
    <w:p>
      <w:pPr>
        <w:pStyle w:val="SynopsisHeading"/>
        <w:keepNext w:val="false"/>
        <w:spacing w:before="48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Ацетилхолинэстераза – это фермент, который участвует в нервно-мышечной передаче, формировании и поддержании нервно-мышечных контактов. Было показано, что при боковом амиотрофическом склерозе специфически изменяется активность фермента в плазме крови. Этот фермент можно также измерить в слюне, однако при БАС это еще не исследовалось. Исследование позволит оценить диагностический потенциал измерения активности ацетилхолинэстеразы в слюне, что может оказаться дополнительным методом диагностики, позволяющий ставить диагноз на более ранних сроках, а также данный метод может оказаться удобным инструментов для оценки эффективности лечения в будущем. В рамках научного исследования у вас будет взят образец слюны и венозной крови в условиях стационара ГАУЗ Республиканская клиническая больница Министерства здравоохранения Республики Татарстан. </w:t>
      </w:r>
    </w:p>
    <w:p>
      <w:pPr>
        <w:pStyle w:val="Normal"/>
        <w:spacing w:lineRule="auto" w:line="240" w:before="0" w:after="9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9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исследование предполагается включить по протоколу 33 пациента.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rFonts w:eastAsia="Times New Roman"/>
          <w:sz w:val="24"/>
          <w:szCs w:val="24"/>
          <w:lang w:val="ru-RU" w:eastAsia="ru-RU"/>
        </w:rPr>
        <w:t>Проведение</w:t>
      </w:r>
      <w:r>
        <w:rPr>
          <w:sz w:val="24"/>
          <w:szCs w:val="24"/>
          <w:lang w:val="ru-RU" w:eastAsia="ru-RU"/>
        </w:rPr>
        <w:t xml:space="preserve"> данного исследования одобрено независимым этическим комитетом. </w:t>
      </w:r>
    </w:p>
    <w:p>
      <w:pPr>
        <w:pStyle w:val="TableText"/>
        <w:keepNext w:val="false"/>
        <w:spacing w:before="12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Рекомендуем </w:t>
      </w:r>
      <w:r>
        <w:rPr>
          <w:rFonts w:eastAsia="Times New Roman"/>
          <w:sz w:val="24"/>
          <w:szCs w:val="24"/>
          <w:lang w:val="ru-RU" w:eastAsia="ru-RU"/>
        </w:rPr>
        <w:t>Вам</w:t>
      </w:r>
      <w:r>
        <w:rPr>
          <w:sz w:val="24"/>
          <w:szCs w:val="24"/>
          <w:lang w:val="ru-RU" w:eastAsia="ru-RU"/>
        </w:rPr>
        <w:t xml:space="preserve"> сообщать о Вашем участии в исследовании врачам и другим медицинским работникам, у которых Вы наблюдаетесь и к кому Вы обращаетесь или будете обращаться за медицинской помощью.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КАКИЕ ВАРИАНТЫ ЛЕЧЕНИЯ ВОЗМОЖНЫ ПРИ УЧАСТИИ В ИССЛЕДОВАНИИ? КАК БУДЕТ ОСУЩЕСТВЛЯТЬСЯ РАСПРЕДЕЛЕНИЕ ПО ГРУППАМ ЛЕЧЕНИЯ?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Данное исследование не предполагает дополнительного лечения. Распределение пациентов по группам будет осуществляться в зависимости от наличия/отсутствия бокового амиотрофического склероза, от наличия/отсутствия схожих неврологических заболеваний. У вас будет равная возможность попасть в одну из исследовательских групп.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 xml:space="preserve">Какие процедуры будут проведены, если вы согласитесь принять участие в исследовании? 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Образец крови для научного исследования будет взят вместе с той кровью, которая будет получена для стандартных исследований (общий и биохимический анализ крови) в рамках вашего стационарного лечения в отделении. Также Вам будет необходимо собрать слюну в специальную емкость. </w:t>
      </w:r>
      <w:r>
        <w:rPr>
          <w:rFonts w:cs="Times New Roman" w:ascii="Times New Roman" w:hAnsi="Times New Roman"/>
          <w:b w:val="false"/>
          <w:iCs/>
          <w:sz w:val="24"/>
          <w:szCs w:val="24"/>
          <w:lang w:val="ru-RU"/>
        </w:rPr>
        <w:t xml:space="preserve">Образцы крови и слюны будут исследованы в Институте органической и физической химии им А.Е. Арбузова. 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Образцы будут промаркированы специальным кодом. Маркировка не будет содержать какой-либо идентифицирующей Вас информации. Ответственность за то, что полученные у Вас образцы будут использованы исключительно для целей исследования, несет исследователь.</w:t>
      </w:r>
    </w:p>
    <w:p>
      <w:pPr>
        <w:pStyle w:val="SynopsisHeading"/>
        <w:keepNext w:val="false"/>
        <w:spacing w:before="48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Соглашаясь на участие в исследовании и подписывая форму информированного согласия, представленную в конце данного документа, Вы в том числе подтверждаете, что проинформированы об условиях забора и анализа Ваших биологических образцов. Если Вы не согласны с указанными условиями, Вам следует отказаться от участия в исследовании.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ИНформация о сборе слюны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рамках исследования Вам будет необходимо собрать слюну в стерильную пластиковую ёмкость (пробирка) объемом 5 мл в утреннее время с 08:00 до 11:00. С вечера необходимо отменить прием чая и кофе, никотина (курение). Сбор слюны проводить не раньше, чем через полчаса после приема пищи. Перед сбором слюны необходимо тщательно прополоскать полость рта кипяченой водой. </w:t>
      </w:r>
    </w:p>
    <w:p>
      <w:pPr>
        <w:pStyle w:val="Normal"/>
        <w:ind w:firstLine="3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рамках Вашего пребывания на стационарном лечении будет взята однократно венозная кровь из локтевой вены объемом до 3 мл. 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ваши обязанности как участника исследования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Как участник исследования Вы будете обязаны соблюдать правила больницы при нахождении в отделении, включающие правила пожарной безопасности, правила больничного режима. 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Ожидаемый риск и неудобства при участии в исследовании, возможные нежелательные РЕАКЦИИ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Ожидаемых неудобств при сборе слюны нет. </w:t>
      </w:r>
    </w:p>
    <w:p>
      <w:pPr>
        <w:pStyle w:val="SynopsisHeading"/>
        <w:keepNext w:val="false"/>
        <w:spacing w:before="48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Возможных нежелательных реакций нет. </w:t>
      </w:r>
    </w:p>
    <w:p>
      <w:pPr>
        <w:pStyle w:val="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Забор крови будет совмещен с забором крови для стандартных анализов.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получите ли вы пользу от участия в исследовании?</w:t>
      </w:r>
    </w:p>
    <w:p>
      <w:pPr>
        <w:pStyle w:val="TableText"/>
        <w:keepNext w:val="false"/>
        <w:spacing w:before="120" w:after="120"/>
        <w:ind w:firstLine="709"/>
        <w:jc w:val="both"/>
        <w:rPr>
          <w:b/>
          <w:b/>
          <w:caps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Непосредственную выгоду от участия в исследовании Вы не получите. Предполагается, что данные, полученные в исследовании, позволят раньше диагностировать боковой амиотрофический склероз, а также улучшить дизайн будущих клинических исследований перспективных лекарственных препаратов.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 xml:space="preserve">Компенсация за возможный ущерб, связанный с участием в исследовании </w:t>
      </w:r>
    </w:p>
    <w:p>
      <w:pPr>
        <w:pStyle w:val="TableText"/>
        <w:keepNext w:val="false"/>
        <w:spacing w:before="12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Данное исследование не несет угрозу Вашей жизни или здоровью, потому не предусматривает страхование жизни и здоровья исследуемого. Все имеющиеся полисы страхования жизни и здоровья остаются действующими. 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В любом случае, в соответствии с действующим законодательством Российской Федерации, Вы имеете право на </w:t>
      </w:r>
      <w:r>
        <w:rPr>
          <w:rFonts w:eastAsia="Times New Roman"/>
          <w:sz w:val="24"/>
          <w:szCs w:val="24"/>
          <w:lang w:val="ru-RU" w:eastAsia="ru-RU"/>
        </w:rPr>
        <w:t>получение</w:t>
      </w:r>
      <w:r>
        <w:rPr>
          <w:sz w:val="24"/>
          <w:szCs w:val="24"/>
          <w:lang w:val="ru-RU"/>
        </w:rPr>
        <w:t xml:space="preserve"> бесплатной медицинской помощи </w:t>
      </w:r>
      <w:bookmarkStart w:id="0" w:name="p246"/>
      <w:bookmarkEnd w:id="0"/>
      <w:r>
        <w:rPr>
          <w:sz w:val="24"/>
          <w:szCs w:val="24"/>
          <w:lang w:val="ru-RU"/>
        </w:rPr>
        <w:t xml:space="preserve">в объеме, установленном </w:t>
      </w:r>
      <w:hyperlink r:id="rId2">
        <w:r>
          <w:rPr>
            <w:rStyle w:val="InternetLink"/>
            <w:sz w:val="24"/>
            <w:szCs w:val="24"/>
            <w:lang w:val="ru-RU"/>
          </w:rPr>
          <w:t>базовой</w:t>
        </w:r>
      </w:hyperlink>
      <w:r>
        <w:rPr>
          <w:sz w:val="24"/>
          <w:szCs w:val="24"/>
          <w:lang w:val="ru-RU"/>
        </w:rPr>
        <w:t xml:space="preserve"> и территориальной программами обязательного медицинского страхования.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bookmarkStart w:id="1" w:name="p247"/>
      <w:bookmarkEnd w:id="1"/>
      <w:r>
        <w:rPr>
          <w:rFonts w:cs="Times New Roman" w:ascii="Times New Roman" w:hAnsi="Times New Roman"/>
          <w:caps/>
          <w:sz w:val="24"/>
          <w:szCs w:val="24"/>
          <w:lang w:val="ru-RU"/>
        </w:rPr>
        <w:t>За чей счет осуществляется проведение исследования?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>Проведение данного исследования осуществляется за счет средств гранта Российского Научного Фонда (РНФ). Вам не придется ничего платить за участие в данном исследовании.</w:t>
      </w:r>
    </w:p>
    <w:p>
      <w:pPr>
        <w:pStyle w:val="TableText"/>
        <w:keepNext w:val="false"/>
        <w:spacing w:before="120" w:after="120"/>
        <w:ind w:firstLine="709"/>
        <w:jc w:val="both"/>
        <w:rPr>
          <w:b/>
          <w:b/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Визиты к врачу-исследователю и медицинские обследования, необходимые для данного исследования, будут для Вас бесплатными. При этом грант не будет оплачивать проведение лечения и обследований, назначенных Вашим врачом-</w:t>
      </w:r>
      <w:r>
        <w:rPr>
          <w:rFonts w:eastAsia="Times New Roman"/>
          <w:sz w:val="24"/>
          <w:szCs w:val="24"/>
          <w:lang w:val="ru-RU" w:eastAsia="ru-RU"/>
        </w:rPr>
        <w:t>исследователем</w:t>
      </w:r>
      <w:r>
        <w:rPr>
          <w:sz w:val="24"/>
          <w:szCs w:val="24"/>
          <w:lang w:val="ru-RU"/>
        </w:rPr>
        <w:t xml:space="preserve"> или другим лечащим врачом, не связанных с Вашим участием в исследовании. Это означает, что расходы на проведение лечения и обследований, назначенных Вам и не связанных с Вашим участием в исследовании, возможно, должны быть оплачены Вами, если они не являются частью стандартной программы медицинской помощи в Российской Федерации и не обеспечены государством (обязательное медицинское страхование) или Вашей страховой компанией (добровольное медицинское страхование).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ВЫПЛАТЫ И КОМПЕНСАЦИЯ ЗА УЧАСТИЕ В ИССЛЕДОВАНИИ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Каких-либо выплат </w:t>
      </w:r>
      <w:r>
        <w:rPr>
          <w:rFonts w:eastAsia="Times New Roman"/>
          <w:sz w:val="24"/>
          <w:szCs w:val="24"/>
          <w:lang w:val="ru-RU" w:eastAsia="ru-RU"/>
        </w:rPr>
        <w:t>за</w:t>
      </w:r>
      <w:r>
        <w:rPr>
          <w:sz w:val="24"/>
          <w:szCs w:val="24"/>
          <w:lang w:val="ru-RU"/>
        </w:rPr>
        <w:t xml:space="preserve"> Ваше участие в данном исследовании не предусмотрено.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ДОСТУП И ОБРАБОТКА МЕДИЦИНСКОЙ ИНФОРМАЦИИ, СОДЕРЖАЩЕЙ ваши ПЕРСОНАЛЬНЫЕ ДАННЫЕ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</w:t>
      </w:r>
      <w:r>
        <w:rPr>
          <w:rFonts w:eastAsia="Times New Roman"/>
          <w:sz w:val="24"/>
          <w:szCs w:val="24"/>
          <w:lang w:val="ru-RU" w:eastAsia="ru-RU"/>
        </w:rPr>
        <w:t>деятельностью</w:t>
      </w:r>
      <w:r>
        <w:rPr>
          <w:sz w:val="24"/>
          <w:szCs w:val="24"/>
          <w:lang w:val="ru-RU"/>
        </w:rPr>
        <w:t xml:space="preserve"> и обязанное в соответствии с законодательством Российской Федерации сохранять врачебную тайну. При наступлении страхового случая право на обработку Ваших персональных данных, согласно действующему законодательству Российской Федерации, также имеет страховая компания, осуществляющая обязательное страхование жизни и здоровья пациентов, участвующих в данном исследовании.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 представителям спонсора, включая сотрудников контрактной исследовательской организации,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относящейся к исследованию </w:t>
      </w:r>
      <w:r>
        <w:rPr>
          <w:rFonts w:eastAsia="Times New Roman"/>
          <w:sz w:val="24"/>
          <w:szCs w:val="24"/>
          <w:lang w:val="ru-RU" w:eastAsia="ru-RU"/>
        </w:rPr>
        <w:t>деятельности</w:t>
      </w:r>
      <w:r>
        <w:rPr>
          <w:sz w:val="24"/>
          <w:szCs w:val="24"/>
          <w:lang w:val="ru-RU"/>
        </w:rPr>
        <w:t xml:space="preserve"> и документации, проводимой для подтверждения соответствия этой деятельности, а также процедур сбора, анализа и представления данных протоколу исследования, соответствующим нормативным требованиям и утвержденным стандартным операционным процедурам спонсора,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Данные, полученные в ходе исследования, включая сведения медицинского характера, которые будут направлены спонсору исследования, будут обезличены врачом-исследователем и защищены присвоенным Вам уникальным кодом. Передаваемая таким образом обезличенная информация будет храниться компанией-спонсором необходимое время как в печатном, так и электронном виде и может быть использована при анализе результатов исследования, подготовке соответствующих отчетов, в научных публикациях и для регистрации фармацевтических препаратов. Данная информация может передаваться другим компаниям, входящим в группу компаний </w:t>
      </w:r>
      <w:r>
        <w:rPr>
          <w:rFonts w:eastAsia="Times New Roman"/>
          <w:sz w:val="24"/>
          <w:szCs w:val="24"/>
          <w:lang w:val="ru-RU" w:eastAsia="ru-RU"/>
        </w:rPr>
        <w:t>спонсор</w:t>
      </w:r>
      <w:r>
        <w:rPr>
          <w:sz w:val="24"/>
          <w:szCs w:val="24"/>
          <w:lang w:val="ru-RU"/>
        </w:rPr>
        <w:t xml:space="preserve">а, организациям, работающим по договору с этими компаниями, в контролирующие органы, также она может быть отправлена в другие страны. Идентифицирующая Вас информация при этом нигде не будет использоваться, и связать эти данными с Вами, установив Вашу личность, будет невозможно.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</w:t>
      </w:r>
      <w:r>
        <w:rPr>
          <w:rFonts w:eastAsia="Times New Roman"/>
          <w:sz w:val="24"/>
          <w:szCs w:val="24"/>
          <w:lang w:val="ru-RU" w:eastAsia="ru-RU"/>
        </w:rPr>
        <w:t>действующим</w:t>
      </w:r>
      <w:r>
        <w:rPr>
          <w:sz w:val="24"/>
          <w:szCs w:val="24"/>
          <w:lang w:val="ru-RU"/>
        </w:rPr>
        <w:t xml:space="preserve">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Если Вы в какой-то момент решите прекратить свое участие в исследовании, то спонсор имеет право </w:t>
      </w:r>
      <w:r>
        <w:rPr>
          <w:rFonts w:eastAsia="Times New Roman"/>
          <w:sz w:val="24"/>
          <w:szCs w:val="24"/>
          <w:lang w:val="ru-RU" w:eastAsia="ru-RU"/>
        </w:rPr>
        <w:t>использовать</w:t>
      </w:r>
      <w:r>
        <w:rPr>
          <w:sz w:val="24"/>
          <w:szCs w:val="24"/>
          <w:lang w:val="ru-RU"/>
        </w:rPr>
        <w:t xml:space="preserve"> информацию, полученную к этому моменту.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>Вы имеете право запросить касающуюся Вас медицинскую информацию, хранящуюся у Вашего врача-исследователя в исследовательском центре. Вы также имеете право потребовать, чтобы все неточности в данных были исправлены. Если Вы захотите сделать это, Вам нужно будет обратиться к своему врачу-исследователю.</w:t>
      </w:r>
    </w:p>
    <w:p>
      <w:pPr>
        <w:pStyle w:val="TableText"/>
        <w:keepNext w:val="false"/>
        <w:spacing w:before="120" w:after="120"/>
        <w:ind w:firstLine="709"/>
        <w:jc w:val="both"/>
        <w:rPr>
          <w:b/>
          <w:b/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Соглашаясь на </w:t>
      </w:r>
      <w:r>
        <w:rPr>
          <w:rFonts w:eastAsia="Times New Roman"/>
          <w:sz w:val="24"/>
          <w:szCs w:val="24"/>
          <w:lang w:val="ru-RU" w:eastAsia="ru-RU"/>
        </w:rPr>
        <w:t>участие</w:t>
      </w:r>
      <w:r>
        <w:rPr>
          <w:sz w:val="24"/>
          <w:szCs w:val="24"/>
          <w:lang w:val="ru-RU"/>
        </w:rPr>
        <w:t xml:space="preserve"> в исследовании и подписывая форму информированного согласия, Вы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отказаться от участия в исследовании. 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Что произойдет, если Вы измените свое решение?</w:t>
      </w:r>
    </w:p>
    <w:p>
      <w:pPr>
        <w:pStyle w:val="TableText"/>
        <w:keepNext w:val="false"/>
        <w:spacing w:before="120"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Ваше участие в данном исследовании является добровольным. Вы не обязаны принимать участие в этом клиническом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медицинской помощи в рамках государственных программ. 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>МОГУТ ЛИ ВАС ВЫВЕСТИ ИЗ ИССЛЕДОВАНИЯ?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Ваш врач-исследователь имеет право в любое время вывести Вас из исследования с Вашего согласия или без </w:t>
      </w:r>
      <w:r>
        <w:rPr>
          <w:rFonts w:eastAsia="Times New Roman"/>
          <w:sz w:val="24"/>
          <w:szCs w:val="24"/>
          <w:lang w:val="ru-RU" w:eastAsia="ru-RU"/>
        </w:rPr>
        <w:t>него</w:t>
      </w:r>
      <w:r>
        <w:rPr>
          <w:sz w:val="24"/>
          <w:szCs w:val="24"/>
          <w:lang w:val="ru-RU"/>
        </w:rPr>
        <w:t>. Эти решения могут быть приняты, если: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продолжение участия в данном исследовании не соответствует Вашим интересам с медицинской точки зрения;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 не следуете указаниям Вашего врача-исследователя;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исследование прекращается досрочно.</w:t>
      </w:r>
    </w:p>
    <w:p>
      <w:pPr>
        <w:pStyle w:val="SynopsisHeading"/>
        <w:numPr>
          <w:ilvl w:val="0"/>
          <w:numId w:val="2"/>
        </w:numPr>
        <w:spacing w:before="360" w:after="240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cs="Times New Roman" w:ascii="Times New Roman" w:hAnsi="Times New Roman"/>
          <w:caps/>
          <w:sz w:val="24"/>
          <w:szCs w:val="24"/>
          <w:lang w:val="ru-RU"/>
        </w:rPr>
        <w:t xml:space="preserve">Контактная информация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/>
        <w:t>Если у Вас есть вопросы об исследовании, пожалуйста, обратитесь к Вашему врачу-исследователю:</w:t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788"/>
      </w:tblGrid>
      <w:tr>
        <w:trPr/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телефону:</w:t>
            </w: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Если у Вас есть </w:t>
      </w:r>
      <w:r>
        <w:rPr>
          <w:rFonts w:eastAsia="Times New Roman"/>
          <w:sz w:val="24"/>
          <w:szCs w:val="24"/>
          <w:lang w:val="ru-RU" w:eastAsia="ru-RU"/>
        </w:rPr>
        <w:t>вопросы</w:t>
      </w:r>
      <w:r>
        <w:rPr>
          <w:sz w:val="24"/>
          <w:szCs w:val="24"/>
          <w:lang w:val="ru-RU"/>
        </w:rPr>
        <w:t xml:space="preserve"> о Ваших правах как участника клинического исследования, пожалуйста, обратитесь в Локальный этический комитет КГМУ по телефону: 8 (843) 236 45 30. Режим работы - с понедельника по пятницу с 9.00 до 17.00 (по московскому времени).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/>
        <w:t>Независимый этический комитет:</w:t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072"/>
      </w:tblGrid>
      <w:tr>
        <w:trPr/>
        <w:tc>
          <w:tcPr>
            <w:tcW w:w="1384" w:type="dxa"/>
            <w:tcBorders/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Название:</w:t>
            </w: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Локальный этический комитет КГМУ</w:t>
            </w:r>
          </w:p>
        </w:tc>
      </w:tr>
      <w:tr>
        <w:trPr/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420012, г. Казань, ул. Бутлерова, 49, ГУК, 2 этаж, к.211</w:t>
            </w:r>
          </w:p>
        </w:tc>
      </w:tr>
      <w:tr>
        <w:trPr/>
        <w:tc>
          <w:tcPr>
            <w:tcW w:w="1045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48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 (843) 236 45 30</w:t>
            </w:r>
          </w:p>
        </w:tc>
      </w:tr>
    </w:tbl>
    <w:p>
      <w:pPr>
        <w:pStyle w:val="ICFBodyText"/>
        <w:tabs>
          <w:tab w:val="clear" w:pos="708"/>
          <w:tab w:val="right" w:pos="10206" w:leader="none"/>
        </w:tabs>
        <w:spacing w:before="240" w:after="12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br w:type="page"/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Форма информированного согласия на участие в клиническом исследовании</w:t>
      </w:r>
    </w:p>
    <w:p>
      <w:pPr>
        <w:pStyle w:val="TableText"/>
        <w:keepNext w:val="false"/>
        <w:spacing w:before="120" w:after="240"/>
        <w:ind w:firstLine="70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Если у Вас все еще остались какие-либо вопросы, пожалуйста, задайте их Вашему врачу-исследователю или персоналу исследовательского центра прежде, чем Вы подпишете этот документ.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прочитал/прочитала эту информацию.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Информация напечатана на русском языке. Это язык, на котором я читаю, и который я понимаю.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получил/получила разъяснения об исследовании.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мои вопросы об исследовании, возможных рисках, нежелательных реакциях и приеме исследуемого препарата я получил/получила удовлетворившие меня ответы.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понимаю, что могу прекратить участие в исследовании в любой момент времени.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 основе полученной информации я добровольно решил/решила принять участие в этом исследовании. </w:t>
      </w:r>
    </w:p>
    <w:p>
      <w:pPr>
        <w:pStyle w:val="ICFBullet"/>
        <w:numPr>
          <w:ilvl w:val="0"/>
          <w:numId w:val="4"/>
        </w:numPr>
        <w:tabs>
          <w:tab w:val="clear" w:pos="288"/>
          <w:tab w:val="left" w:pos="709" w:leader="none"/>
        </w:tabs>
        <w:spacing w:before="0"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Меня проинформировали, что в соответствии с законом «Об обращении лекарственных средств» запрещается проведение клинических исследований лекарственных препаратов с участием сотрудников правоохранительных органов. Настоящим я подтверждаю, что не являюсь сотрудником правоохранительных органов. </w:t>
      </w:r>
    </w:p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>Я получил/получила подписанный и датированный экземпляр этого информационного листка пациента</w:t>
      </w:r>
      <w:r>
        <w:rPr>
          <w:spacing w:val="-2"/>
          <w:sz w:val="24"/>
          <w:szCs w:val="24"/>
          <w:lang w:val="ru-RU"/>
        </w:rPr>
        <w:t>.</w:t>
      </w:r>
    </w:p>
    <w:p>
      <w:pPr>
        <w:pStyle w:val="ICFBodyText"/>
        <w:tabs>
          <w:tab w:val="clear" w:pos="708"/>
          <w:tab w:val="right" w:pos="9072" w:leader="none"/>
        </w:tabs>
        <w:spacing w:before="0" w:after="0"/>
        <w:rPr>
          <w:rFonts w:ascii="Times New Roman" w:hAnsi="Times New Roman" w:cs="Times New Roman"/>
          <w:sz w:val="40"/>
          <w:szCs w:val="40"/>
          <w:lang w:val="ru-RU" w:eastAsia="ru-RU"/>
        </w:rPr>
      </w:pPr>
      <w:r>
        <w:rPr>
          <w:rFonts w:eastAsia="Wingdings" w:cs="Wingdings" w:ascii="Wingdings" w:hAnsi="Wingdings"/>
          <w:sz w:val="40"/>
          <w:szCs w:val="40"/>
          <w:lang w:val="ru-RU" w:eastAsia="ru-RU"/>
        </w:rPr>
        <w:t></w:t>
      </w:r>
      <w:r>
        <w:rPr>
          <w:rFonts w:eastAsia="Times New Roman" w:cs="Times New Roman" w:ascii="Times New Roman" w:hAnsi="Times New Roman"/>
          <w:sz w:val="40"/>
          <w:szCs w:val="40"/>
          <w:lang w:val="ru-RU" w:eastAsia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Да</w:t>
      </w:r>
    </w:p>
    <w:p>
      <w:pPr>
        <w:pStyle w:val="ICFBodyText"/>
        <w:tabs>
          <w:tab w:val="clear" w:pos="708"/>
          <w:tab w:val="right" w:pos="9072" w:leader="none"/>
        </w:tabs>
        <w:spacing w:before="0" w:after="0"/>
        <w:rPr>
          <w:rFonts w:ascii="Times New Roman" w:hAnsi="Times New Roman" w:cs="Times New Roman"/>
          <w:sz w:val="40"/>
          <w:szCs w:val="40"/>
          <w:lang w:val="ru-RU" w:eastAsia="ru-RU"/>
        </w:rPr>
      </w:pPr>
      <w:r>
        <w:rPr>
          <w:rFonts w:eastAsia="Wingdings" w:cs="Wingdings" w:ascii="Wingdings" w:hAnsi="Wingdings"/>
          <w:sz w:val="40"/>
          <w:szCs w:val="40"/>
          <w:lang w:val="ru-RU" w:eastAsia="ru-RU"/>
        </w:rPr>
        <w:t></w:t>
      </w:r>
      <w:r>
        <w:rPr>
          <w:rFonts w:eastAsia="Times New Roman" w:cs="Times New Roman" w:ascii="Times New Roman" w:hAnsi="Times New Roman"/>
          <w:sz w:val="40"/>
          <w:szCs w:val="40"/>
          <w:lang w:val="ru-RU" w:eastAsia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Нет</w:t>
      </w:r>
    </w:p>
    <w:p>
      <w:pPr>
        <w:pStyle w:val="ICFBodyText"/>
        <w:tabs>
          <w:tab w:val="clear" w:pos="708"/>
          <w:tab w:val="right" w:pos="9072" w:leader="none"/>
        </w:tabs>
        <w:spacing w:before="120" w:after="0"/>
        <w:rPr/>
      </w:pPr>
      <w:r>
        <w:rPr/>
        <w:t>(Пожалуйста, отметьте «Да» или «Нет»)</w:t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67"/>
        <w:gridCol w:w="4961"/>
      </w:tblGrid>
      <w:tr>
        <w:trPr/>
        <w:tc>
          <w:tcPr>
            <w:tcW w:w="10314" w:type="dxa"/>
            <w:gridSpan w:val="3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36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0314" w:type="dxa"/>
            <w:gridSpan w:val="3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ФИО пациента (полностью и разборчиво)</w:t>
            </w:r>
          </w:p>
        </w:tc>
      </w:tr>
      <w:tr>
        <w:trPr>
          <w:trHeight w:val="726" w:hRule="atLeast"/>
        </w:trPr>
        <w:tc>
          <w:tcPr>
            <w:tcW w:w="4786" w:type="dxa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  <w:tc>
          <w:tcPr>
            <w:tcW w:w="567" w:type="dxa"/>
            <w:tcBorders/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Подпись пациента</w:t>
            </w:r>
          </w:p>
        </w:tc>
        <w:tc>
          <w:tcPr>
            <w:tcW w:w="567" w:type="dxa"/>
            <w:tcBorders/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0" w:after="12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ind w:right="-176" w:hanging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  <w:t>Дата (например, 01 апреля 2021 года)</w:t>
            </w:r>
          </w:p>
        </w:tc>
      </w:tr>
    </w:tbl>
    <w:p>
      <w:pPr>
        <w:pStyle w:val="TableText"/>
        <w:keepNext w:val="false"/>
        <w:spacing w:before="120" w:after="120"/>
        <w:ind w:firstLine="709"/>
        <w:jc w:val="both"/>
        <w:rPr/>
      </w:pPr>
      <w:r>
        <w:rPr>
          <w:sz w:val="24"/>
          <w:szCs w:val="24"/>
          <w:lang w:val="ru-RU"/>
        </w:rPr>
        <w:t xml:space="preserve">Для участия в </w:t>
      </w:r>
      <w:r>
        <w:rPr>
          <w:rFonts w:eastAsia="Times New Roman"/>
          <w:sz w:val="24"/>
          <w:szCs w:val="24"/>
          <w:lang w:val="ru-RU" w:eastAsia="ru-RU"/>
        </w:rPr>
        <w:t>исследовании</w:t>
      </w:r>
      <w:r>
        <w:rPr/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67"/>
        <w:gridCol w:w="4961"/>
      </w:tblGrid>
      <w:tr>
        <w:trPr/>
        <w:tc>
          <w:tcPr>
            <w:tcW w:w="10314" w:type="dxa"/>
            <w:gridSpan w:val="3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360" w:after="0"/>
              <w:ind w:right="-794" w:hang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0314" w:type="dxa"/>
            <w:gridSpan w:val="3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ФИО законного представителя (полностью и разборчиво)</w:t>
            </w:r>
          </w:p>
        </w:tc>
      </w:tr>
      <w:tr>
        <w:trPr>
          <w:trHeight w:val="767" w:hRule="atLeast"/>
        </w:trPr>
        <w:tc>
          <w:tcPr>
            <w:tcW w:w="4786" w:type="dxa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ind w:right="-792" w:hang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  <w:tc>
          <w:tcPr>
            <w:tcW w:w="567" w:type="dxa"/>
            <w:tcBorders/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ind w:right="-792" w:hang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48" w:after="0"/>
              <w:ind w:right="-792" w:hanging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/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Дата (например, 01 апреля 2021 года)</w:t>
            </w:r>
          </w:p>
        </w:tc>
      </w:tr>
      <w:tr>
        <w:trPr/>
        <w:tc>
          <w:tcPr>
            <w:tcW w:w="10314" w:type="dxa"/>
            <w:gridSpan w:val="3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ФИО врача-исследователя, получавшего согласие (полностью и разборчиво)</w:t>
            </w:r>
          </w:p>
        </w:tc>
      </w:tr>
      <w:tr>
        <w:trPr>
          <w:trHeight w:val="474" w:hRule="atLeast"/>
        </w:trPr>
        <w:tc>
          <w:tcPr>
            <w:tcW w:w="4786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Подпись врача-исследователя, получавшего согласие</w:t>
            </w:r>
          </w:p>
        </w:tc>
        <w:tc>
          <w:tcPr>
            <w:tcW w:w="567" w:type="dxa"/>
            <w:tcBorders/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napToGrid w:val="false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>
            <w:pPr>
              <w:pStyle w:val="ICFBodyText"/>
              <w:tabs>
                <w:tab w:val="clear" w:pos="708"/>
                <w:tab w:val="right" w:pos="9072" w:leader="none"/>
              </w:tabs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Дата (например, 01 апреля 2021 года)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3"/>
      <w:type w:val="nextPage"/>
      <w:pgSz w:w="11906" w:h="16838"/>
      <w:pgMar w:left="1134" w:right="567" w:gutter="0" w:header="0" w:top="1134" w:footer="283" w:bottom="127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Consolas">
    <w:charset w:val="cc"/>
    <w:family w:val="modern"/>
    <w:pitch w:val="default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/>
    </w:pPr>
    <w:r>
      <w:rPr>
        <w:rFonts w:cs="Times New Roman" w:ascii="Times New Roman" w:hAnsi="Times New Roman"/>
        <w:sz w:val="24"/>
        <w:szCs w:val="24"/>
      </w:rPr>
      <w:t xml:space="preserve">Страница </w:t>
    </w:r>
    <w:r>
      <w:rPr>
        <w:rFonts w:cs="Times New Roman" w:ascii="Times New Roman" w:hAnsi="Times New Roman"/>
        <w:b/>
        <w:sz w:val="24"/>
        <w:szCs w:val="24"/>
      </w:rPr>
      <w:fldChar w:fldCharType="begin"/>
    </w:r>
    <w:r>
      <w:rPr>
        <w:sz w:val="24"/>
        <w:b/>
        <w:szCs w:val="24"/>
        <w:rFonts w:cs="Times New Roman" w:ascii="Times New Roman" w:hAnsi="Times New Roman"/>
      </w:rPr>
      <w:instrText xml:space="preserve"> PAGE </w:instrText>
    </w:r>
    <w:r>
      <w:rPr>
        <w:sz w:val="24"/>
        <w:b/>
        <w:szCs w:val="24"/>
        <w:rFonts w:cs="Times New Roman" w:ascii="Times New Roman" w:hAnsi="Times New Roman"/>
      </w:rPr>
      <w:fldChar w:fldCharType="separate"/>
    </w:r>
    <w:r>
      <w:rPr>
        <w:sz w:val="24"/>
        <w:b/>
        <w:szCs w:val="24"/>
        <w:rFonts w:cs="Times New Roman" w:ascii="Times New Roman" w:hAnsi="Times New Roman"/>
      </w:rPr>
      <w:t>6</w:t>
    </w:r>
    <w:r>
      <w:rPr>
        <w:sz w:val="24"/>
        <w:b/>
        <w:szCs w:val="24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</w:rPr>
      <w:t xml:space="preserve"> из </w:t>
    </w:r>
    <w:r>
      <w:rPr>
        <w:rFonts w:cs="Times New Roman" w:ascii="Times New Roman" w:hAnsi="Times New Roman"/>
        <w:b/>
        <w:sz w:val="24"/>
        <w:szCs w:val="24"/>
      </w:rPr>
      <w:fldChar w:fldCharType="begin"/>
    </w:r>
    <w:r>
      <w:rPr>
        <w:sz w:val="24"/>
        <w:b/>
        <w:szCs w:val="24"/>
        <w:rFonts w:cs="Times New Roman" w:ascii="Times New Roman" w:hAnsi="Times New Roman"/>
      </w:rPr>
      <w:instrText xml:space="preserve"> NUMPAGES \* ARABIC </w:instrText>
    </w:r>
    <w:r>
      <w:rPr>
        <w:sz w:val="24"/>
        <w:b/>
        <w:szCs w:val="24"/>
        <w:rFonts w:cs="Times New Roman" w:ascii="Times New Roman" w:hAnsi="Times New Roman"/>
      </w:rPr>
      <w:fldChar w:fldCharType="separate"/>
    </w:r>
    <w:r>
      <w:rPr>
        <w:sz w:val="24"/>
        <w:b/>
        <w:szCs w:val="24"/>
        <w:rFonts w:cs="Times New Roman" w:ascii="Times New Roman" w:hAnsi="Times New Roman"/>
      </w:rPr>
      <w:t>6</w:t>
    </w:r>
    <w:r>
      <w:rPr>
        <w:sz w:val="24"/>
        <w:b/>
        <w:szCs w:val="24"/>
        <w:rFonts w:cs="Times New Roman"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120"/>
      <w:outlineLvl w:val="0"/>
    </w:pPr>
    <w:rPr>
      <w:rFonts w:ascii="Times New Roman" w:hAnsi="Times New Roman" w:cs="Times New Roman"/>
      <w:b/>
      <w:bCs/>
      <w:kern w:val="2"/>
      <w:sz w:val="32"/>
      <w:szCs w:val="32"/>
      <w:u w:val="single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Times New Roman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Times New Roman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styleId="ICFBodyTextChar">
    <w:name w:val="ICF Body Text Char"/>
    <w:qFormat/>
    <w:rPr>
      <w:rFonts w:ascii="Arial" w:hAnsi="Arial" w:eastAsia="Calibri" w:cs="Arial"/>
      <w:bCs/>
      <w:sz w:val="22"/>
      <w:lang w:val="ru-RU" w:bidi="ar-SA"/>
    </w:rPr>
  </w:style>
  <w:style w:type="character" w:styleId="ICFBodyTextChar1">
    <w:name w:val="ICF BodyText Char"/>
    <w:qFormat/>
    <w:rPr>
      <w:rFonts w:ascii="Arial" w:hAnsi="Arial" w:eastAsia="Calibri" w:cs="Arial"/>
      <w:sz w:val="22"/>
      <w:lang w:val="en-US" w:bidi="ar-SA"/>
    </w:rPr>
  </w:style>
  <w:style w:type="character" w:styleId="Style16">
    <w:name w:val="Текст Знак"/>
    <w:qFormat/>
    <w:rPr>
      <w:rFonts w:ascii="Consolas" w:hAnsi="Consolas" w:cs="Consolas"/>
      <w:sz w:val="21"/>
      <w:szCs w:val="21"/>
      <w:lang w:val="en-US" w:bidi="ar-SA"/>
    </w:rPr>
  </w:style>
  <w:style w:type="character" w:styleId="InternetLink">
    <w:name w:val="Hyperlink"/>
    <w:rPr>
      <w:color w:val="0000FF"/>
      <w:u w:val="single"/>
    </w:rPr>
  </w:style>
  <w:style w:type="character" w:styleId="1">
    <w:name w:val="Заголовок 1 Знак"/>
    <w:qFormat/>
    <w:rPr>
      <w:b/>
      <w:bCs/>
      <w:kern w:val="2"/>
      <w:sz w:val="32"/>
      <w:szCs w:val="32"/>
      <w:u w:val="single"/>
      <w:lang w:val="ru-RU" w:bidi="ar-SA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Основной текст Знак"/>
    <w:qFormat/>
    <w:rPr>
      <w:rFonts w:eastAsia="Calibri"/>
      <w:sz w:val="24"/>
      <w:szCs w:val="22"/>
      <w:lang w:val="en-US" w:bidi="ar-SA"/>
    </w:rPr>
  </w:style>
  <w:style w:type="character" w:styleId="Hps">
    <w:name w:val="hp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20"/>
    </w:pPr>
    <w:rPr>
      <w:rFonts w:ascii="Times New Roman" w:hAnsi="Times New Roman" w:eastAsia="Calibri" w:cs="Times New Roman"/>
      <w:sz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odyText10">
    <w:name w:val="BodyText10"/>
    <w:qFormat/>
    <w:pPr>
      <w:widowControl/>
      <w:suppressAutoHyphens w:val="true"/>
      <w:bidi w:val="0"/>
      <w:spacing w:before="0" w:after="200"/>
      <w:jc w:val="both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CFBodyText">
    <w:name w:val="ICF BodyText"/>
    <w:qFormat/>
    <w:pPr>
      <w:widowControl/>
      <w:bidi w:val="0"/>
      <w:spacing w:before="0" w:after="200"/>
    </w:pPr>
    <w:rPr>
      <w:rFonts w:ascii="Arial" w:hAnsi="Arial" w:eastAsia="Calibri" w:cs="Arial"/>
      <w:color w:val="auto"/>
      <w:sz w:val="22"/>
      <w:szCs w:val="20"/>
      <w:lang w:val="en-US" w:bidi="ar-SA" w:eastAsia="zh-CN"/>
    </w:rPr>
  </w:style>
  <w:style w:type="paragraph" w:styleId="TableText">
    <w:name w:val="TableText"/>
    <w:qFormat/>
    <w:pPr>
      <w:keepNext w:val="true"/>
      <w:widowControl/>
      <w:bidi w:val="0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SynopsisHeading">
    <w:name w:val="SynopsisHeading"/>
    <w:next w:val="Normal"/>
    <w:qFormat/>
    <w:pPr>
      <w:keepNext w:val="true"/>
      <w:widowControl/>
      <w:bidi w:val="0"/>
    </w:pPr>
    <w:rPr>
      <w:rFonts w:ascii="Arial" w:hAnsi="Arial" w:eastAsia="Calibri" w:cs="Arial"/>
      <w:b/>
      <w:color w:val="auto"/>
      <w:sz w:val="20"/>
      <w:szCs w:val="20"/>
      <w:lang w:val="en-US" w:bidi="ar-SA" w:eastAsia="zh-CN"/>
    </w:rPr>
  </w:style>
  <w:style w:type="paragraph" w:styleId="Blank">
    <w:name w:val="Blank"/>
    <w:qFormat/>
    <w:pPr>
      <w:widowControl/>
      <w:bidi w:val="0"/>
    </w:pPr>
    <w:rPr>
      <w:rFonts w:ascii="Times New Roman" w:hAnsi="Times New Roman" w:eastAsia="Calibri" w:cs="Times New Roman"/>
      <w:color w:val="auto"/>
      <w:sz w:val="20"/>
      <w:szCs w:val="20"/>
      <w:lang w:val="en-US" w:bidi="ar-SA" w:eastAsia="zh-CN"/>
    </w:rPr>
  </w:style>
  <w:style w:type="paragraph" w:styleId="BodyText10ICF">
    <w:name w:val="BodyText10-ICF"/>
    <w:basedOn w:val="BodyText10"/>
    <w:qFormat/>
    <w:pPr>
      <w:spacing w:lineRule="auto" w:line="360"/>
    </w:pPr>
    <w:rPr>
      <w:sz w:val="22"/>
    </w:rPr>
  </w:style>
  <w:style w:type="paragraph" w:styleId="ICFBodyText1">
    <w:name w:val="ICF Body Text"/>
    <w:basedOn w:val="ICFBodyText"/>
    <w:qFormat/>
    <w:pPr>
      <w:jc w:val="both"/>
    </w:pPr>
    <w:rPr>
      <w:rFonts w:cs="Arial"/>
      <w:bCs/>
      <w:lang w:val="ru-RU"/>
    </w:rPr>
  </w:style>
  <w:style w:type="paragraph" w:styleId="Style19">
    <w:name w:val="Текст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val="en-U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U">
    <w:name w:val="u"/>
    <w:basedOn w:val="Normal"/>
    <w:qFormat/>
    <w:pPr>
      <w:spacing w:lineRule="auto" w:line="240" w:before="0" w:after="0"/>
      <w:ind w:firstLine="390"/>
      <w:jc w:val="both"/>
    </w:pPr>
    <w:rPr>
      <w:rFonts w:ascii="Times New Roman" w:hAnsi="Times New Roman" w:cs="Times New Roman"/>
      <w:sz w:val="24"/>
      <w:szCs w:val="24"/>
    </w:rPr>
  </w:style>
  <w:style w:type="paragraph" w:styleId="Style21">
    <w:name w:val="Текст примечания"/>
    <w:basedOn w:val="Normal"/>
    <w:qFormat/>
    <w:pPr/>
    <w:rPr>
      <w:sz w:val="20"/>
      <w:szCs w:val="20"/>
    </w:rPr>
  </w:style>
  <w:style w:type="paragraph" w:styleId="Style22">
    <w:name w:val="Тема примечания"/>
    <w:basedOn w:val="Style21"/>
    <w:next w:val="Style21"/>
    <w:qFormat/>
    <w:pPr/>
    <w:rPr>
      <w:b/>
      <w:bCs/>
    </w:rPr>
  </w:style>
  <w:style w:type="paragraph" w:styleId="ICFBullet">
    <w:name w:val="ICF Bullet"/>
    <w:qFormat/>
    <w:pPr>
      <w:widowControl/>
      <w:numPr>
        <w:ilvl w:val="0"/>
        <w:numId w:val="3"/>
      </w:numPr>
      <w:tabs>
        <w:tab w:val="clear" w:pos="708"/>
        <w:tab w:val="left" w:pos="288" w:leader="none"/>
      </w:tabs>
      <w:bidi w:val="0"/>
      <w:spacing w:before="0" w:after="100"/>
    </w:pPr>
    <w:rPr>
      <w:rFonts w:ascii="Arial" w:hAnsi="Arial" w:eastAsia="Times New Roman" w:cs="Arial"/>
      <w:color w:val="auto"/>
      <w:sz w:val="22"/>
      <w:szCs w:val="20"/>
      <w:lang w:val="en-US" w:bidi="ar-SA" w:eastAsia="zh-CN"/>
    </w:rPr>
  </w:style>
  <w:style w:type="paragraph" w:styleId="Propertystatement">
    <w:name w:val="Propertystatement"/>
    <w:basedOn w:val="Normal"/>
    <w:qFormat/>
    <w:pPr>
      <w:spacing w:lineRule="auto" w:line="240" w:before="1200" w:after="0"/>
      <w:jc w:val="center"/>
    </w:pPr>
    <w:rPr>
      <w:rFonts w:ascii="Arial" w:hAnsi="Arial" w:cs="Arial"/>
      <w:sz w:val="20"/>
      <w:szCs w:val="20"/>
      <w:lang w:val="en-US"/>
    </w:rPr>
  </w:style>
  <w:style w:type="paragraph" w:styleId="Paragraph">
    <w:name w:val="paragraph"/>
    <w:basedOn w:val="Normal"/>
    <w:qFormat/>
    <w:pPr>
      <w:spacing w:lineRule="auto" w:line="240" w:before="120" w:after="0"/>
      <w:jc w:val="both"/>
    </w:pPr>
    <w:rPr>
      <w:rFonts w:ascii="Times New Roman" w:hAnsi="Times New Roman" w:eastAsia="MS Mincho;Yu Gothic UI" w:cs="Times New Roman"/>
      <w:sz w:val="24"/>
      <w:szCs w:val="20"/>
      <w:lang w:val="en-US"/>
    </w:rPr>
  </w:style>
  <w:style w:type="paragraph" w:styleId="11">
    <w:name w:val="Рецензия1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BodyText12">
    <w:name w:val="Body Text 12"/>
    <w:qFormat/>
    <w:pPr>
      <w:widowControl/>
      <w:bidi w:val="0"/>
      <w:spacing w:lineRule="auto" w:line="264" w:before="0" w:after="24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en-US" w:bidi="ar-SA" w:eastAsia="zh-CN"/>
    </w:rPr>
  </w:style>
  <w:style w:type="paragraph" w:styleId="Style23">
    <w:name w:val="Рецензия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s_4E4083F3457C99711A40FD9DE32BB7AECF01256E2CF283A96BD6AC91C6C95A53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2021-03-25T13:32:00Z</dcterms:created>
  <dc:creator>1</dc:creator>
  <dc:description/>
  <cp:keywords/>
  <dc:language>en-US</dc:language>
  <cp:lastModifiedBy>user</cp:lastModifiedBy>
  <cp:lastPrinted>2014-09-23T14:48:00Z</cp:lastPrinted>
  <dcterms:modified xsi:type="dcterms:W3CDTF">2021-03-25T13:32:00Z</dcterms:modified>
  <cp:revision>2</cp:revision>
  <dc:subject/>
  <dc:title>Текст-инструкция приведен в Italics</dc:title>
</cp:coreProperties>
</file>