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1"/>
        <w:gridCol w:w="2875"/>
        <w:gridCol w:w="2314"/>
      </w:tblGrid>
      <w:tr w:rsidR="00E223BB" w:rsidRPr="005964FD" w:rsidTr="00E223BB">
        <w:trPr>
          <w:gridAfter w:val="1"/>
          <w:wAfter w:w="2314" w:type="dxa"/>
          <w:tblCellSpacing w:w="0" w:type="dxa"/>
          <w:jc w:val="center"/>
        </w:trPr>
        <w:tc>
          <w:tcPr>
            <w:tcW w:w="0" w:type="auto"/>
            <w:gridSpan w:val="2"/>
            <w:hideMark/>
          </w:tcPr>
          <w:p w:rsidR="00E223BB" w:rsidRPr="00E223BB" w:rsidRDefault="00E223BB" w:rsidP="00E223BB">
            <w:pPr>
              <w:ind w:left="3544" w:firstLine="1560"/>
              <w:rPr>
                <w:sz w:val="40"/>
                <w:szCs w:val="40"/>
              </w:rPr>
            </w:pPr>
            <w:r w:rsidRPr="00E223BB">
              <w:rPr>
                <w:sz w:val="40"/>
                <w:szCs w:val="40"/>
              </w:rPr>
              <w:t>Хельсинкская декларация ВМА</w:t>
            </w:r>
            <w:r>
              <w:rPr>
                <w:sz w:val="40"/>
                <w:szCs w:val="40"/>
              </w:rPr>
              <w:t>,2013</w:t>
            </w:r>
          </w:p>
          <w:p w:rsidR="00E223BB" w:rsidRDefault="00E223BB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86"/>
            </w:tblGrid>
            <w:tr w:rsidR="00E223BB" w:rsidRPr="005964FD" w:rsidTr="002305F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223BB" w:rsidRDefault="00E223BB"/>
                <w:tbl>
                  <w:tblPr>
                    <w:tblW w:w="9967" w:type="dxa"/>
                    <w:tblCellSpacing w:w="15" w:type="dxa"/>
                    <w:tblInd w:w="2719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67"/>
                  </w:tblGrid>
                  <w:tr w:rsidR="00E223BB" w:rsidRPr="005964FD" w:rsidTr="00E223BB">
                    <w:trPr>
                      <w:tblCellSpacing w:w="15" w:type="dxa"/>
                    </w:trPr>
                    <w:tc>
                      <w:tcPr>
                        <w:tcW w:w="0" w:type="auto"/>
                        <w:hideMark/>
                      </w:tcPr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Преамбула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1. Всемирная Медицинская Ассоциация (ВМА) разработала Хельсинкскую Декларацию в качестве свода этических принципов проведения медицинских исследований с участием людей, в том числе исследований с использованием биологических материалов или данных, допускающих идентификацию лица, от которого они были получены.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Текст Декларации предназначен для использования в качестве целостного документа, и каждое его отдельное положение должно применяться с учетом всех других применимых положений.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2. Хотя Декларация принималась врачами, ВМА полагает, что её принципов стоит придерживаться всем организациям, коллективам и отдельным лицам, вовлеченным в проведение медицинских исследований, поскольку эти принципы закладывают основы для уважения и защиты всех участников исследований, включая и пациентов, и здоровых добровольцев.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Основные принципы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3. Женевская декларация ВМА определяет долг врача следующими словами: "Здоровье и благополучие моего пациента будет моей главной заботой", а международный Кодекс медицинской этики ВМА гласит: "Врач должен ставить на первое место здоровье и благополучие пациента и оказывать медицинскую помощь, максимально отвечающую интересам пациента".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4. Долг врача – поддерживать и охранять здоровье, благополучие и права пациентов, в том числе тех, которые участвуют в медицинском исследовании. Знания и совесть врача должны быть направлены на служение этому долгу.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5. Прогресс медицины основан на научных исследованиях, принцип проведения которых требует привлечения участников.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Даже тщательно изученные вмешательства должны постоянно посредством исследований подвергаться оценке на предмет их безопасности, эффективности, действенности, доступности и качества.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6. Медицинские исследования с участием людей должны проводиться с соблюдением этических стандартов, гарантирующих уважение ко всем участникам и защиту их здоровья и прав.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Учитывая, что медицинские исследования проводятся в условиях различного рода структурных неравенств, исследователи должны тщательно продумать распределение пользы, рисков и неудобств.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Содержательное взаимодействие с потенциальными и уже включенными участниками и их сообществами должно происходить до,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во время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и после завершения медицинского исследования. Исследователи должны дать потенциальным и уже включенным участникам и их сообществам возможность заявлять о своих приоритетах и ценностях, влиять на дизайн исследования, на его проведение и на другие связанные с исследованием виды деятельности, а также возможность принимать участие в осмыслении и распространении результатов.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7. Основная цель медицинских исследований с участием людей состоит в получении знаний для понимания причин, механизмов развития и последствий заболеваний, для совершенствования профилактических, диагностических и терапевтических вмешательств и в конечном счете в улучшении здоровья отдельных людей и населения в целом.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Эти цели никогда не должны ставиться выше прав и интересов отдельных участников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8. Несмотря на то, что во время чрезвычайных ситуаций в области общественного здоровья может возникать неотложная необходимость в новых знаниях и вмешательствах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, в период таких чрезвычайных ситуаций по-прежнему важно соблюдать этические принципы, изложенные в настоящей Декларации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lastRenderedPageBreak/>
                          <w:t>9. Долгом врачей, вовлеченных в медицинское исследование, является защита жизни, здоровья, достоинства, неприкосновенности, автономии, права на частную жизнь и конфиденциальность персональных данных участников исследования. Ответственность за защиту участников исследования всегда должна возлагаться на врачей или иных исследователей и никогда на участников исследования, даже если они дали свое согласие.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10. Врачи и другие исследователи должны учитывать этические и правовые нормы и стандарты проведения исследований с участием людей, действующие в стране или странах, где исследование было инициировано и где оно должно проводиться,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также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как и соответствующие международные нормы и стандарты. Никакие национальные или международные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этические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или правовые требования не должны умалять или отменять меры по защите участников исследования, установленные настоящей Декларацией.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11. Медицинские исследования должны планироваться и проводиться таким образом, чтобы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избегать или минимизировать вред окружающей среде и стремиться к экологической устойчивости.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12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. Медицинские исследования с участием людей должны проводиться только лицами, имеющими соответствующую этическую и научную подготовку, образование и квалификацию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 Такие исследования требуют контроля со стороны компетентного и имеющего соответствующую квалификацию врача или другого исследователя.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Научная добросовестность имеет большое значение при проведении медицинских исследований с участием людей. Задействованные в них организации, коллективы и отдельные лица никогда не должны допускать нарушений при проведении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13.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Группам, в недостаточной мере привлекаемым к участию в медицинских исследованиях, необходимо обеспечить возможность участия в них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14. Врачи, сочетающие медицинские исследования с оказанием медицинской помощи, должны привлекать к участию в них своих пациентов только в той степени, в какой это оправдано с точки зрения потенциальной профилактической, диагностической или терапевтической ценности,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и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если врач имеет достаточные основания полагать, что участие в исследовании не скажется неблагоприятным образом на здоровье пациентов-участников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15. Участникам, пострадавшим в результате участия в исследовании, должны быть гарантированы соответствующие компенсация и лечение.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Риски, неудобства и польза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16. В медицинской практике и в медицинских исследованиях большинство вмешательств сопряжено с рисками и неудобствами.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Медицинское исследование с участием людей может проводиться только тогда, когда важность цели исследования превышает риски и неудобства для участников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17. Каждому медицинскому исследованию с участием людей должно предшествовать тщательное сопоставление возможных рисков и неудобств для включенных в исследование лиц или групп с ожидаемой пользой как для этих, так и для других лиц или групп, страдающих от изучаемого состояния.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Должны быть предприняты меры по минимизации рисков и неудобств. Риски и неудобства должны постоянно контролироваться, оцениваться и документироваться исследователем.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18. Врачи и другие исследователи не должны заниматься исследованиями с участием людей, если они не уверены в том, что произведена надлежащая оценка рисков и неудобств, и что их можно адекватно контролировать.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Если выясняется, что риски и неудобства превышают ожидаемую пользу,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либо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когда есть убедительные доказательства определенных исходов, врачи и другие исследователи должны оценить, стоить ли продолжить, внести изменения либо немедленно остановить исследование.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Уязвимые лица, группы и сообщества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19. Некоторые лица, группы и сообщества, будучи участниками исследования, оказываются в более уязвимом положении под влиянием постоянных или ситуативных и изменчивых факторов, и тем самым подвергаются 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lastRenderedPageBreak/>
                          <w:t xml:space="preserve">повышенному риску несправедливого обращения или причинения вреда. Если такие лица, группы и сообщества имеют специфичные для них потребности в сфере здоровья, их </w:t>
                        </w:r>
                        <w:proofErr w:type="spell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невключение</w:t>
                        </w:r>
                        <w:proofErr w:type="spell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в медицинские исследования потенциально может закрепить или усилить неравенство.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 xml:space="preserve">Поэтому вред от </w:t>
                        </w:r>
                        <w:proofErr w:type="spellStart"/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невключения</w:t>
                        </w:r>
                        <w:proofErr w:type="spellEnd"/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 xml:space="preserve"> следует оценить и сопоставить с вредом от включения.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Чтобы включение таких участников в исследование было справедливым и ответственным, они должны получать специально продуманную поддержку и защиту.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20. Медицинское исследование с участием лиц, групп и сообществ, находящихся в особо уязвимом положении, оправдано только в том случае, если оно отвечает их потребностям и приоритетам в сфере здоровья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и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если ожидается, что эти лица, группы и сообщества получат пользу от приобретенных знаний, практик или вмешательств. Исследователи должны включать в исследование находящихся в особо уязвимом положении только тогда, когда исследование не может быть проведено в менее уязвимой группе или сообществе, </w:t>
                        </w:r>
                        <w:proofErr w:type="gram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или</w:t>
                        </w:r>
                        <w:proofErr w:type="gram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когда их исключение может способствовать закреплению или усилению неравенства.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Научные требования и протоколы исследований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21. Медицинские исследования с участием людей должны иметь научно обоснованный и строгий дизайн и исполнение, что позволит получить надежные, достоверные и полезные знания и избежать напрасных затрат. Исследования должны соответствовать общепринятым научным принципам и основываться на глубоком знании научной литературы, других релевантных источников информации, на результатах достаточных лабораторных исследований и, при необходимости, исследований на животных.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Необходимо проявлять гуманность по отношению к животным, используемым в исследованиях.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22. Дизайн и порядок выполнения всех медицинских исследований с участием людей должны быть четко описаны и обоснованы в протоколе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Протокол должен освещать этические аспекты исследования и содержать информацию о том, как обеспечивается соблюдение принципов настоящей Декларации. Протокол должен содержать информацию о целях, методах, ожидаемой пользе, потенциальных рисках и неудобствах, квалификации исследователя, источниках финансирования, любых возможных конфликтах интересов, условиях защиты частной жизни и конфиденциальности, методах стимулирования участников, условиях лечения и/или компенсации участникам в случае нанесения вреда их здоровью в результате участия, а также информацию о любых других значимых аспектах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В клинических исследованиях протокол должен также описывать все условия, действующие после окончания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Комитеты по этике исследований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23. Перед началом исследования протокол должен быть направлен для рассмотрения, комментирования, выработки рекомендаций и одобрения в соответствующий комитет по этике исследований. Работа такого комитета должна быть прозрачна, комитет должен обладать независимостью и достаточным объёмом полномочий, чтобы противостоять злоупотреблению влиянием со стороны исследователя, спонсора или иных лиц. Комитет должен располагать ресурсами, достаточными для выполнения своих обязанностей, его члены и сотрудники в совокупности должны иметь необходимые для эффективной оценки каждого вида рассматриваемых ими исследований образование, подготовку, квалификацию и разнообразие.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Комитет должен быть хорошо знаком с локальными условиями и контекстом и включать в качестве члена минимум одного представителя общественности. Он должен учитывать этические и правовые нормы и стандарты страны или стран, в которых планируется проведение исследования, а также соответствующие международные нормы и стандарты, которые, однако, не должны умалять или отменять меры по защите участников исследования, установленные настоящей Декларацией.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При проведении международных совместных исследований протокол исследования должен быть одобрен комитетами по этике как в стране спонсора, так и в тех странах, где проводится исследование.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У комитета должно быть право осуществлять мониторинг, рекомендовать внесение изменений, отзывать свое одобрение и на время приостанавливать текущие исследования. Если требуется мониторинг, исследователь обязан предоставлять комитету и/или компетентной организации, проводящей мониторинг данных и безопасности, необходимую информацию, в особенности информацию о любых серьезных нежелательных явлениях. Никакие поправки к протоколу не могут быть внедрены без рассмотрения и одобрения комитета. После окончания 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lastRenderedPageBreak/>
                          <w:t>исследования исследователи должны представить в комитет финальный отчет, содержащий резюме результатов и выводов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Частная жизнь и конфиденциальность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24. Должны быть приняты все меры для защиты частной жизни участников исследования и конфиденциальности их персональных данных.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Добровольное информированное согласие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 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25. Добровольное информированное согласие является неотъемлемой составляющей уважения автономии личности. Участие в медицинских исследованиях лиц, способных дать информированное согласие, должно быть добровольным.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Несмотря на то, что может быть целесообразной консультация с родственниками или представителями сообщества, ни одно лицо, способное дать информированное согласие, не может быть включено в исследование, если оно не дало своего собственного добровольного согласия.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26. В медицинском исследовании с участием людей, способных дать информированное согласие, каждый потенциальный участник должен получить достаточную информацию, изложенную в доступной форме, о целях, методах, ожидаемой пользе, потенциальных рисках и неудобствах, квалификации исследователя, источниках финансирования, любых возможных конфликтах интересов, условиях защиты частной жизни и конфиденциальности, методах стимулирования участников, условиях лечения и/или компенсации участникам в случае нанесения вреда их здоровью в результате участия в исследовании, а также информацию о любых иных значимых аспектах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Потенциальный участник должен быть проинформирован о своем праве отказаться от участия в исследовании или отозвать свое согласие на участие в любой момент без каких-либо неблагоприятных для себя последствий. Особое внимание должно уделяться специфическим информационным и коммуникативным потребностям каждого потенциального участника, а также методам, используемым для предоставления информации.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Убедившись, что потенциальный участник понял предоставленную ему информацию, врач или другой квалифицированный специалист должен получить добровольное информированное согласие потенциального участника, задокументированное в бумажном или электроном виде. Если согласие не может быть выражено в бумажном или электроном виде, должно быть надлежащим образом засвидетельствовано и задокументировано устное согласие.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Всем участникам медицинского исследования должна быть предоставлена возможность получения информации об общих выводах и результатах исследования.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27. При получении информированного согласия на участие в исследовании врач или другой исследователь должен проявлять особую осмотрительность в тех случаях, когда потенциальный участник находится в зависимости от него или может дать согласие под давлением. В таких случаях информированное согласие должно быть получено лицом, которое имеет соответствующую квалификацию и от которого потенциальный участник не зависит.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28. В медицинском исследовании с участием людей, не способных дать добровольное информированное согласие, врач или другой квалифицированный специалист должны получить информированное согласие его законного представителя, принимая во внимание выраженные потенциальным участником предпочтения и ценностные установки.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Те, кто не способен дать добровольное информированное согласие, находятся в особо уязвимом положении и имеют право на соответствующие меры защиты. Помимо получения защиты как находящиеся в особо уязвимом положении, неспособные дать согласие лица должны включаться в исследование только в том случае, если есть основания полагать, что это исследование либо принесет пользу им непосредственно, либо связано только с минимальными рисками и неудобствами.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29.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Если потенциальный участник исследования, не способный дать добровольное информированное согласие, способен выразить собственное мнение об участии в исследовании, врач или другой квалифицированный специалист должен запросить его мнение в дополнение к согласию его законного представителя, принимая во внимание выраженные потенциальным участником предпочтения и ценностные установки. Несогласие потенциального участника должно учитываться.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lastRenderedPageBreak/>
                          <w:t>30. Исследования с участием людей, физически или психически неспособных дать согласие (например, пациентов, находящихся в бессознательном состоянии), могут проводиться только при условии, что физическое или психическое состояние, препятствующее предоставлению информированного согласия, является неотъемлемой характеристикой исследуемой группы. В таких случаях врач или другой квалифицированный специалист должен запрашивать информированное согласие у законного представителя. Если такой представитель не доступен, и если исследование не может быть отсрочено, то исследование может проводиться без получения информированного согласия при условии, что особые причины для включения участников в исследование в состоянии, препятствующем предоставлению информированного согласия, оговорены в протоколе исследования, а проведение исследования одобрено комитетом по этике исследований.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При первой возможности добровольное информированное согласие на продолжение участия в исследовании должно быть получено у законного представителя или у участника, если он вновь обретет способность предоставить согласие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31. Врач или другой исследователь должен предоставить потенциальным участникам полную информацию о том, какие аспекты лечения относятся к проводимому исследованию. Отказ пациента участвовать в исследовании или решение о выходе из исследования ни при каких обстоятельствах не должны негативно отражаться на взаимоотношениях пациента с врачом или на представлении стандартной медицинской помощи.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32. Врачи или другие квалифицированные специалисты должны получить добровольное информированное согласие участников исследования на сбор, обработку, хранение и предполагаемое вторичное использование биологического материала и идентифицирующих личность или допускающих идентификацию личности данных.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 xml:space="preserve">Любой сбор и хранение данных или биологического материала участников исследования в целях многократного и неопределенного использования должны соответствовать требованиям, изложенным в </w:t>
                        </w:r>
                        <w:proofErr w:type="spellStart"/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Тайбэйской</w:t>
                        </w:r>
                        <w:proofErr w:type="spellEnd"/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 xml:space="preserve"> декларации ВМА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, включая соблюдение прав отдельных лиц и принципов управления. Комитет по этике исследований должен одобрить создание и проводить мониторинг постоянного использования таких баз данных и биобанков.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В случаях, когда получение согласия невозможно или практически неосуществимо, вторичное исследование сохраненных данных или биологического материала может проводиться только после рассмотрения и одобрения комитетом по этике исследований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Использование плацебо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33. Польза, риски, неудобства и эффективность нового вмешательства должны оцениваться в сравнении с лучшими проверенными вмешательствами, за исключением следующих случаев: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- когда не существует проверенного метода вмешательства, приемлемым является использование плацебо или отсутствие вмешательства, либо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- когда в силу убедительных и научно-обоснованных методологических причин использование любого вмешательства, отличного от лучших проверенных, использование плацебо либо отсутствие вмешательства необходимы для оценки эффективности либо безопасности вмешательства, при этом участники, получающие какое-либо вмешательство, отличное от лучших проверенных, плацебо, или не получающие никакого вмешательства, не будут подвергаться дополнительным рискам причинения серьезного или необратимого ущерба здоровью в результате неполучения лучшего проверенного вмешательства.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Крайне важно не допускать злоупотребления такой возможностью.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Обеспечение препаратами после окончания исследования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34. До начала клинического исследования спонсоры и исследователи должны предусмотреть возможность обеспечения препаратами, осуществляемого ими самими, системами здравоохранения или правительствами, для всех участников, которым еще требуется вмешательство, если в исследовании выяснилось, что оно приносит им пользу и достаточно безопасно. Исключения из этого требования должны быть одобрены комитетом по этике исследований. Конкретная информация об обеспечении препаратами после окончания исследования должна быть доведена до сведения участников в процессе получения информированного согласия.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Регистрация исследований, публикации и распространение результатов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lastRenderedPageBreak/>
                          <w:t>35. Медицинское исследование с участием людей должно быть зарегистрировано в публично доступной базе данных прежде, чем в него будет включен первый участник.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36.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Исследователи, авторы, спонсоры, редакторы и издатели несут этические обязательства в отношении публикации и распространения результатов исследования. Исследователи обязаны обеспечить открытый доступ к результатам проведенных ими исследований с участием людей и несут ответственность за своевременность, полноту и достоверность отчетов.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Все стороны должны придерживаться общепринятых этических принципов при подготовке отчетов об исследованиях. Как положительные, так и отрицательные, а также не позволяющие сделать окончательные выводы результаты должны публиковаться или иным образом размещаться в открытом доступе. В публикации должны быть указаны источники финансирования, принадлежность к каким-либо организациям и имеющиеся конфликты интересов.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Отчеты об исследованиях, не соответствующих принципам, установленным настоящей Декларацией, не должны приниматься к публикации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.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Непроверенные вмешательства в клинической практике</w:t>
                        </w:r>
                      </w:p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37. </w:t>
                        </w:r>
                        <w:r w:rsidRPr="00F01799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highlight w:val="yellow"/>
                            <w:u w:val="single"/>
                            <w:lang w:eastAsia="ru-RU"/>
                          </w:rPr>
                          <w:t>Если для восстановления здоровья или облегчения страдания конкретного пациента в силу того, что одобренные варианты неадекватны или неэффективны, а включение в клиническое исследование невозможно, используется непроверенное вмешательство, оно должно впоследствии стать объектом исследования, организованного с целью оценки его эффективности и безопасности. Врачи, задействованные при таких вмешательствах, должны сначала обратиться за советом к эксперту, оценить возможные риски, неудобства и пользу и получить информированное согласие.</w:t>
                        </w: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Они также должны документировать и, когда это требуется, обеспечивать обмен данными, а также не допускать </w:t>
                        </w:r>
                        <w:proofErr w:type="spellStart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>компрометирования</w:t>
                        </w:r>
                        <w:proofErr w:type="spellEnd"/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t xml:space="preserve"> клинических исследований. Такие вмешательства ни в коем случае не должны проводиться в обход требований по защите участников исследований, установленных настоящей Декларацией.</w:t>
                        </w:r>
                      </w:p>
                      <w:p w:rsidR="00E223BB" w:rsidRPr="005964FD" w:rsidRDefault="00E223BB" w:rsidP="002305F6">
                        <w:pPr>
                          <w:spacing w:after="240" w:line="240" w:lineRule="auto"/>
                          <w:jc w:val="both"/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ahoma" w:eastAsia="Times New Roman" w:hAnsi="Tahoma" w:cs="Tahoma"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  <w:br/>
                        </w:r>
                        <w:hyperlink r:id="rId4" w:tgtFrame="_blank" w:history="1">
                          <w:r w:rsidRPr="005964FD">
                            <w:rPr>
                              <w:rFonts w:ascii="Tahoma" w:eastAsia="Times New Roman" w:hAnsi="Tahoma" w:cs="Tahoma"/>
                              <w:color w:val="0099CC"/>
                              <w:sz w:val="18"/>
                              <w:szCs w:val="18"/>
                              <w:u w:val="single"/>
                              <w:lang w:eastAsia="ru-RU"/>
                            </w:rPr>
                            <w:t>Хельсинкская декларация ВМА на английском языке.</w:t>
                          </w:r>
                        </w:hyperlink>
                      </w:p>
                    </w:tc>
                  </w:tr>
                  <w:tr w:rsidR="00E223BB" w:rsidRPr="005964FD" w:rsidTr="00E223BB">
                    <w:trPr>
                      <w:tblCellSpacing w:w="15" w:type="dxa"/>
                    </w:trPr>
                    <w:tc>
                      <w:tcPr>
                        <w:tcW w:w="0" w:type="auto"/>
                      </w:tcPr>
                      <w:p w:rsidR="00E223BB" w:rsidRPr="005964FD" w:rsidRDefault="00E223BB" w:rsidP="002305F6">
                        <w:pPr>
                          <w:spacing w:before="100" w:beforeAutospacing="1" w:after="100" w:afterAutospacing="1" w:line="240" w:lineRule="auto"/>
                          <w:jc w:val="both"/>
                          <w:rPr>
                            <w:rFonts w:ascii="Tahoma" w:eastAsia="Times New Roman" w:hAnsi="Tahoma" w:cs="Tahoma"/>
                            <w:b/>
                            <w:bCs/>
                            <w:color w:val="333333"/>
                            <w:sz w:val="18"/>
                            <w:szCs w:val="18"/>
                            <w:u w:val="single"/>
                            <w:lang w:eastAsia="ru-RU"/>
                          </w:rPr>
                        </w:pPr>
                      </w:p>
                    </w:tc>
                  </w:tr>
                </w:tbl>
                <w:p w:rsidR="00E223BB" w:rsidRPr="005964FD" w:rsidRDefault="00E223BB" w:rsidP="002305F6">
                  <w:pPr>
                    <w:spacing w:after="0" w:line="240" w:lineRule="auto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u w:val="single"/>
                      <w:lang w:eastAsia="ru-RU"/>
                    </w:rPr>
                  </w:pPr>
                  <w:r w:rsidRPr="005964FD">
                    <w:rPr>
                      <w:rFonts w:ascii="Tahoma" w:eastAsia="Times New Roman" w:hAnsi="Tahoma" w:cs="Tahoma"/>
                      <w:sz w:val="18"/>
                      <w:szCs w:val="18"/>
                      <w:u w:val="single"/>
                      <w:lang w:eastAsia="ru-RU"/>
                    </w:rPr>
                    <w:t> </w:t>
                  </w:r>
                </w:p>
              </w:tc>
            </w:tr>
          </w:tbl>
          <w:p w:rsidR="00E223BB" w:rsidRPr="005964FD" w:rsidRDefault="00E223BB" w:rsidP="002305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</w:pPr>
          </w:p>
        </w:tc>
        <w:bookmarkStart w:id="0" w:name="_GoBack"/>
        <w:bookmarkEnd w:id="0"/>
      </w:tr>
      <w:tr w:rsidR="00E223BB" w:rsidRPr="005964FD" w:rsidTr="00E223BB">
        <w:trPr>
          <w:gridAfter w:val="1"/>
          <w:wAfter w:w="2314" w:type="dxa"/>
          <w:trHeight w:val="1320"/>
          <w:tblCellSpacing w:w="0" w:type="dxa"/>
          <w:jc w:val="center"/>
        </w:trPr>
        <w:tc>
          <w:tcPr>
            <w:tcW w:w="9811" w:type="dxa"/>
            <w:hideMark/>
          </w:tcPr>
          <w:p w:rsidR="00E223BB" w:rsidRPr="005964FD" w:rsidRDefault="00E223BB" w:rsidP="002305F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</w:pPr>
            <w:r w:rsidRPr="005964FD"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  <w:lastRenderedPageBreak/>
              <w:t> </w:t>
            </w:r>
          </w:p>
        </w:tc>
        <w:tc>
          <w:tcPr>
            <w:tcW w:w="2875" w:type="dxa"/>
            <w:hideMark/>
          </w:tcPr>
          <w:p w:rsidR="00E223BB" w:rsidRPr="005964FD" w:rsidRDefault="00E223BB" w:rsidP="002305F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</w:pPr>
            <w:r w:rsidRPr="005964FD"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  <w:t> </w:t>
            </w:r>
          </w:p>
        </w:tc>
      </w:tr>
      <w:tr w:rsidR="00E223BB" w:rsidRPr="005964FD" w:rsidTr="00E223BB">
        <w:trPr>
          <w:trHeight w:val="615"/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5"/>
              <w:gridCol w:w="8711"/>
            </w:tblGrid>
            <w:tr w:rsidR="00E223BB" w:rsidRPr="005964FD" w:rsidTr="002305F6">
              <w:trPr>
                <w:tblCellSpacing w:w="0" w:type="dxa"/>
              </w:trPr>
              <w:tc>
                <w:tcPr>
                  <w:tcW w:w="3975" w:type="dxa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1"/>
                    <w:gridCol w:w="96"/>
                    <w:gridCol w:w="111"/>
                  </w:tblGrid>
                  <w:tr w:rsidR="00E223BB" w:rsidRPr="005964FD" w:rsidTr="002305F6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223BB" w:rsidRPr="005964FD" w:rsidRDefault="00E223BB" w:rsidP="002305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223BB" w:rsidRPr="005964FD" w:rsidRDefault="00E223BB" w:rsidP="002305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223BB" w:rsidRPr="005964FD" w:rsidRDefault="00E223BB" w:rsidP="002305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99CC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  <w:fldChar w:fldCharType="begin"/>
                        </w:r>
                        <w:r w:rsidRPr="005964F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  <w:instrText xml:space="preserve"> HYPERLINK "http://www.histats.com/" \o "website stat" \t "_blank" </w:instrText>
                        </w:r>
                        <w:r w:rsidRPr="005964F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  <w:fldChar w:fldCharType="separate"/>
                        </w:r>
                      </w:p>
                      <w:p w:rsidR="00E223BB" w:rsidRPr="005964FD" w:rsidRDefault="00E223BB" w:rsidP="002305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5964F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  <w:fldChar w:fldCharType="end"/>
                        </w:r>
                      </w:p>
                    </w:tc>
                  </w:tr>
                </w:tbl>
                <w:p w:rsidR="00E223BB" w:rsidRPr="005964FD" w:rsidRDefault="00E223BB" w:rsidP="002305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23BB" w:rsidRPr="005964FD" w:rsidRDefault="00E223BB" w:rsidP="002305F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99CC"/>
                      <w:sz w:val="17"/>
                      <w:szCs w:val="17"/>
                      <w:u w:val="single"/>
                      <w:lang w:eastAsia="ru-RU"/>
                    </w:rPr>
                  </w:pPr>
                  <w:r w:rsidRPr="005964FD">
                    <w:rPr>
                      <w:rFonts w:ascii="Times New Roman" w:eastAsia="Times New Roman" w:hAnsi="Times New Roman" w:cs="Times New Roman"/>
                      <w:color w:val="0099CC"/>
                      <w:sz w:val="17"/>
                      <w:szCs w:val="17"/>
                      <w:u w:val="single"/>
                      <w:lang w:eastAsia="ru-RU"/>
                    </w:rPr>
                    <w:t>© </w:t>
                  </w:r>
                  <w:hyperlink r:id="rId5" w:history="1">
                    <w:r w:rsidRPr="005964FD">
                      <w:rPr>
                        <w:rFonts w:ascii="Times New Roman" w:eastAsia="Times New Roman" w:hAnsi="Times New Roman" w:cs="Times New Roman"/>
                        <w:color w:val="0099CC"/>
                        <w:sz w:val="17"/>
                        <w:szCs w:val="17"/>
                        <w:u w:val="single"/>
                        <w:lang w:eastAsia="ru-RU"/>
                      </w:rPr>
                      <w:t>Ассоциация организаций по клиническим исследованиям (AOKИ),</w:t>
                    </w:r>
                  </w:hyperlink>
                  <w:r w:rsidRPr="005964FD">
                    <w:rPr>
                      <w:rFonts w:ascii="Times New Roman" w:eastAsia="Times New Roman" w:hAnsi="Times New Roman" w:cs="Times New Roman"/>
                      <w:color w:val="0099CC"/>
                      <w:sz w:val="17"/>
                      <w:szCs w:val="17"/>
                      <w:u w:val="single"/>
                      <w:lang w:eastAsia="ru-RU"/>
                    </w:rPr>
                    <w:t> 2008-2025</w:t>
                  </w:r>
                </w:p>
              </w:tc>
            </w:tr>
          </w:tbl>
          <w:p w:rsidR="00E223BB" w:rsidRPr="005964FD" w:rsidRDefault="00E223BB" w:rsidP="002305F6">
            <w:pPr>
              <w:shd w:val="clear" w:color="auto" w:fill="F5FCFF"/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</w:pPr>
          </w:p>
        </w:tc>
        <w:tc>
          <w:tcPr>
            <w:tcW w:w="2314" w:type="dxa"/>
            <w:shd w:val="clear" w:color="auto" w:fill="F5FCFF"/>
            <w:hideMark/>
          </w:tcPr>
          <w:p w:rsidR="00E223BB" w:rsidRPr="005964FD" w:rsidRDefault="00E223BB" w:rsidP="002305F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</w:pPr>
            <w:r w:rsidRPr="005964FD">
              <w:rPr>
                <w:rFonts w:ascii="Tahoma" w:eastAsia="Times New Roman" w:hAnsi="Tahoma" w:cs="Tahoma"/>
                <w:color w:val="000000"/>
                <w:sz w:val="27"/>
                <w:szCs w:val="27"/>
                <w:u w:val="single"/>
                <w:lang w:eastAsia="ru-RU"/>
              </w:rPr>
              <w:t> </w:t>
            </w:r>
          </w:p>
        </w:tc>
      </w:tr>
    </w:tbl>
    <w:p w:rsidR="00E223BB" w:rsidRPr="005964FD" w:rsidRDefault="00E223BB" w:rsidP="00E223BB">
      <w:pPr>
        <w:rPr>
          <w:u w:val="single"/>
        </w:rPr>
      </w:pPr>
    </w:p>
    <w:p w:rsidR="002B2A8F" w:rsidRDefault="002B2A8F"/>
    <w:sectPr w:rsidR="002B2A8F" w:rsidSect="00E223B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3BB"/>
    <w:rsid w:val="002B2A8F"/>
    <w:rsid w:val="00991FED"/>
    <w:rsid w:val="00E2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448A"/>
  <w15:chartTrackingRefBased/>
  <w15:docId w15:val="{FB422E8A-3CB4-4AD8-B589-B29F90B9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3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cto-russia.org/index.php?option=com_content&amp;task=view&amp;id=15" TargetMode="External"/><Relationship Id="rId4" Type="http://schemas.openxmlformats.org/officeDocument/2006/relationships/hyperlink" Target="https://www.wma.net/policies-post/wma-declaration-of-helsin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3259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IT_CORP</dc:creator>
  <cp:keywords/>
  <dc:description/>
  <cp:lastModifiedBy>IT_CORP</cp:lastModifiedBy>
  <cp:revision>1</cp:revision>
  <cp:lastPrinted>2026-05-08T10:51:00Z</cp:lastPrinted>
  <dcterms:created xsi:type="dcterms:W3CDTF">2026-05-08T10:48:00Z</dcterms:created>
  <dcterms:modified xsi:type="dcterms:W3CDTF">2026-05-08T10:52:00Z</dcterms:modified>
</cp:coreProperties>
</file>