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1306"/>
        <w:tblW w:w="13745" w:type="dxa"/>
        <w:tblLook w:val="04A0" w:firstRow="1" w:lastRow="0" w:firstColumn="1" w:lastColumn="0" w:noHBand="0" w:noVBand="1"/>
      </w:tblPr>
      <w:tblGrid>
        <w:gridCol w:w="623"/>
        <w:gridCol w:w="626"/>
        <w:gridCol w:w="5550"/>
        <w:gridCol w:w="708"/>
        <w:gridCol w:w="709"/>
        <w:gridCol w:w="5529"/>
      </w:tblGrid>
      <w:tr w:rsidR="00680925" w:rsidRPr="00680925" w:rsidTr="00680925">
        <w:tc>
          <w:tcPr>
            <w:tcW w:w="623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5550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 xml:space="preserve">Введение в специальность. Организация стоматологической помощи в РФ Вопросы терапевтической, ортопедической стоматологии, стоматологии детского возраста и ортодонтии. Методика обследования стоматологического больного: основные и дополнительные методы. Этапы диагностического процесса. Понятие дифференциальной диагностики. Основные принципы составления плана лечения. История болезни.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Деонтологические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аспекты. Тема Заболевания твердых тканей зуба. Кариес зубов.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поражения. Осложнения кариеса. Пульпит. Периодонтит. Понятие пульпита, периодонтита. Классификация, этиология, патогенез, клиника, диагностика, методы лечения и профилактики.</w:t>
            </w:r>
          </w:p>
        </w:tc>
        <w:tc>
          <w:tcPr>
            <w:tcW w:w="708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680925" w:rsidRPr="00680925" w:rsidRDefault="00680925" w:rsidP="00680925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 xml:space="preserve">Введение в специальность. Организация стоматологической помощи в РФ Вопросы терапевтической, ортопедической стоматологии, стоматологии детского возраста и ортодонтии. Методика обследования стоматологического больного: основные и дополнительные методы. Этапы диагностического процесса. Понятие дифференциальной диагностики. Основные принципы составления плана лечения. История болезни.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Деонтологические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аспекты. Тема Заболевания твердых тканей зуба. Кариес зубов.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поражения. Осложнения кариеса. Пульпит. Периодонтит. Понятие пульпита, периодонтита. Классификация, этиология, патогенез, клиника, диагностика, методы лечения и профилактики.</w:t>
            </w:r>
          </w:p>
        </w:tc>
      </w:tr>
      <w:tr w:rsidR="00680925" w:rsidRPr="00680925" w:rsidTr="00680925">
        <w:tc>
          <w:tcPr>
            <w:tcW w:w="623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5550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>Местные анестетики и медикаментозные средства для местного обезболивания. Основные аспекты и проблемы боли в стоматологии. Местные анестетики, применяемые для местного обезболивания</w:t>
            </w:r>
            <w:bookmarkStart w:id="0" w:name="_GoBack"/>
            <w:bookmarkEnd w:id="0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. Потенцирование местного обезболивания,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премедикация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>. Выбор обезболивания и подготовка больного к вмешательству при сопутствующих заболеваниях и у лиц пожилого возраста. Виды местного обезболивания. Местные и общие осложнения. Операция удаления зуба. Показания и противопоказания. Инструментарий.</w:t>
            </w:r>
          </w:p>
        </w:tc>
        <w:tc>
          <w:tcPr>
            <w:tcW w:w="708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680925" w:rsidRPr="00680925" w:rsidRDefault="00680925" w:rsidP="00680925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 xml:space="preserve">Местные анестетики и медикаментозные средства для местного обезболивания. Основные аспекты и проблемы боли в стоматологии. Местные анестетики, применяемые для местного обезболивания. Потенцирование местного обезболивания,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премедикация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>. Выбор обезболивания и подготовка больного к вмешательству при сопутствующих заболеваниях и у лиц пожилого возраста. Виды местного обезболивания. Местные и общие осложнения. Операция удаления зуба. Показания и противопоказания. Инструментарий.</w:t>
            </w:r>
          </w:p>
        </w:tc>
      </w:tr>
      <w:tr w:rsidR="00680925" w:rsidRPr="00680925" w:rsidTr="00680925">
        <w:tc>
          <w:tcPr>
            <w:tcW w:w="623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5550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 xml:space="preserve">Воспалительные заболевания челюстно-лицевой области. Классификация воспалительных заболеваний ЧЛО.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Одонтогенный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периостит и остеомиелит челюстей.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Одонтогенный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гайморит.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Одонтогенные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абсцессы и флегмоны. Фурункулы. Воспалительные заболевания слюнных желез .Осложнения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одонтогенных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воспалительных процессов в ЧЛО.</w:t>
            </w:r>
          </w:p>
        </w:tc>
        <w:tc>
          <w:tcPr>
            <w:tcW w:w="708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680925" w:rsidRPr="00680925" w:rsidRDefault="00680925" w:rsidP="00680925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 xml:space="preserve">Воспалительные заболевания челюстно-лицевой области. Классификация воспалительных заболеваний ЧЛО.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Одонтогенный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периостит и остеомиелит челюстей.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Одонтогенный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гайморит.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Одонтогенные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абсцессы и флегмоны. Фурункулы. Воспалительные заболевания слюнных желез .Осложнения </w:t>
            </w:r>
            <w:proofErr w:type="spellStart"/>
            <w:r w:rsidRPr="00680925">
              <w:rPr>
                <w:rFonts w:ascii="Times New Roman" w:hAnsi="Times New Roman"/>
                <w:sz w:val="20"/>
                <w:szCs w:val="20"/>
              </w:rPr>
              <w:t>одонтогенных</w:t>
            </w:r>
            <w:proofErr w:type="spell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воспалительных процессов в ЧЛО.</w:t>
            </w:r>
          </w:p>
        </w:tc>
      </w:tr>
      <w:tr w:rsidR="00680925" w:rsidRPr="00680925" w:rsidTr="00680925">
        <w:tc>
          <w:tcPr>
            <w:tcW w:w="623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5550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 xml:space="preserve">Травматология челюстно-лицевой области. Классификация травм ЧЛО. Повреждения мягких тканей, </w:t>
            </w:r>
            <w:proofErr w:type="gramStart"/>
            <w:r w:rsidRPr="00680925">
              <w:rPr>
                <w:rFonts w:ascii="Times New Roman" w:hAnsi="Times New Roman"/>
                <w:sz w:val="20"/>
                <w:szCs w:val="20"/>
              </w:rPr>
              <w:t>зубов ,</w:t>
            </w:r>
            <w:proofErr w:type="gram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альвеолярных отростков челюстей. Переломы костей лицевого скелета. Осложнения травм ЧЛО.</w:t>
            </w:r>
          </w:p>
        </w:tc>
        <w:tc>
          <w:tcPr>
            <w:tcW w:w="708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680925" w:rsidRPr="00680925" w:rsidRDefault="00680925" w:rsidP="00680925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 xml:space="preserve">Травматология челюстно-лицевой области. Классификация травм ЧЛО. Повреждения мягких тканей, </w:t>
            </w:r>
            <w:proofErr w:type="gramStart"/>
            <w:r w:rsidRPr="00680925">
              <w:rPr>
                <w:rFonts w:ascii="Times New Roman" w:hAnsi="Times New Roman"/>
                <w:sz w:val="20"/>
                <w:szCs w:val="20"/>
              </w:rPr>
              <w:t>зубов ,</w:t>
            </w:r>
            <w:proofErr w:type="gram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альвеолярных отростков челюстей. Переломы костей лицевого скелета. Осложнения травм ЧЛО.</w:t>
            </w:r>
          </w:p>
        </w:tc>
      </w:tr>
      <w:tr w:rsidR="00680925" w:rsidRPr="00680925" w:rsidTr="00680925">
        <w:tc>
          <w:tcPr>
            <w:tcW w:w="623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:rsidR="00680925" w:rsidRPr="00680925" w:rsidRDefault="00680925" w:rsidP="0068092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5550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 xml:space="preserve">Новообразования тканей лица, костей лицевого черепа, полости рта и его органов. Пороки развития ЧЛО.  Новообразования ЧЛО. Доброкачественные новообразования челюстно-лицевой области. Опухолеподобные образования ЧЛО. Пороки развития </w:t>
            </w:r>
            <w:proofErr w:type="gramStart"/>
            <w:r w:rsidRPr="00680925">
              <w:rPr>
                <w:rFonts w:ascii="Times New Roman" w:hAnsi="Times New Roman"/>
                <w:sz w:val="20"/>
                <w:szCs w:val="20"/>
              </w:rPr>
              <w:t>ЧЛО .</w:t>
            </w:r>
            <w:proofErr w:type="gram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Онкологические заболевания челюстно-лицевой области Предраковые заболевания ЧЛО.</w:t>
            </w:r>
          </w:p>
        </w:tc>
        <w:tc>
          <w:tcPr>
            <w:tcW w:w="708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80925" w:rsidRPr="00680925" w:rsidRDefault="00680925" w:rsidP="00680925">
            <w:pPr>
              <w:pStyle w:val="a3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680925" w:rsidRPr="00680925" w:rsidRDefault="00680925" w:rsidP="00680925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680925">
              <w:rPr>
                <w:rFonts w:ascii="Times New Roman" w:hAnsi="Times New Roman"/>
                <w:sz w:val="20"/>
                <w:szCs w:val="20"/>
              </w:rPr>
              <w:t xml:space="preserve">Новообразования тканей лица, костей лицевого черепа, полости рта и его органов. Пороки развития ЧЛО.  Новообразования ЧЛО. Доброкачественные новообразования челюстно-лицевой области. Опухолеподобные образования ЧЛО. Пороки развития </w:t>
            </w:r>
            <w:proofErr w:type="gramStart"/>
            <w:r w:rsidRPr="00680925">
              <w:rPr>
                <w:rFonts w:ascii="Times New Roman" w:hAnsi="Times New Roman"/>
                <w:sz w:val="20"/>
                <w:szCs w:val="20"/>
              </w:rPr>
              <w:t>ЧЛО .</w:t>
            </w:r>
            <w:proofErr w:type="gramEnd"/>
            <w:r w:rsidRPr="00680925">
              <w:rPr>
                <w:rFonts w:ascii="Times New Roman" w:hAnsi="Times New Roman"/>
                <w:sz w:val="20"/>
                <w:szCs w:val="20"/>
              </w:rPr>
              <w:t xml:space="preserve"> Онкологические заболевания челюстно-лицевой области Предраковые заболевания ЧЛО.</w:t>
            </w:r>
          </w:p>
        </w:tc>
      </w:tr>
    </w:tbl>
    <w:p w:rsidR="00F02077" w:rsidRPr="00680925" w:rsidRDefault="00BF7A47" w:rsidP="00680925">
      <w:pPr>
        <w:spacing w:after="0" w:line="240" w:lineRule="auto"/>
        <w:ind w:left="57"/>
        <w:rPr>
          <w:sz w:val="20"/>
          <w:szCs w:val="20"/>
        </w:rPr>
      </w:pPr>
    </w:p>
    <w:sectPr w:rsidR="00F02077" w:rsidRPr="00680925" w:rsidSect="00680925">
      <w:headerReference w:type="default" r:id="rId7"/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47" w:rsidRDefault="00BF7A47" w:rsidP="00680925">
      <w:pPr>
        <w:spacing w:after="0" w:line="240" w:lineRule="auto"/>
      </w:pPr>
      <w:r>
        <w:separator/>
      </w:r>
    </w:p>
  </w:endnote>
  <w:endnote w:type="continuationSeparator" w:id="0">
    <w:p w:rsidR="00BF7A47" w:rsidRDefault="00BF7A47" w:rsidP="0068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47" w:rsidRDefault="00BF7A47" w:rsidP="00680925">
      <w:pPr>
        <w:spacing w:after="0" w:line="240" w:lineRule="auto"/>
      </w:pPr>
      <w:r>
        <w:separator/>
      </w:r>
    </w:p>
  </w:footnote>
  <w:footnote w:type="continuationSeparator" w:id="0">
    <w:p w:rsidR="00BF7A47" w:rsidRDefault="00BF7A47" w:rsidP="0068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25" w:rsidRDefault="00680925" w:rsidP="00680925">
    <w:pPr>
      <w:pStyle w:val="a7"/>
    </w:pPr>
    <w:r>
      <w:t xml:space="preserve">Занятия Лечебный факультет 5 курс 2025-2026 уч. год.                                              </w:t>
    </w:r>
    <w:r>
      <w:t xml:space="preserve">Занятия Лечебный факультет 5 курс 2025-2026 уч. год. </w:t>
    </w:r>
  </w:p>
  <w:p w:rsidR="00680925" w:rsidRDefault="006809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3767"/>
    <w:multiLevelType w:val="hybridMultilevel"/>
    <w:tmpl w:val="1122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46"/>
    <w:rsid w:val="004646D9"/>
    <w:rsid w:val="00680925"/>
    <w:rsid w:val="008C2F6D"/>
    <w:rsid w:val="00AF0346"/>
    <w:rsid w:val="00BF7A47"/>
    <w:rsid w:val="00DA5BB5"/>
    <w:rsid w:val="00EB294B"/>
    <w:rsid w:val="00F2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6BB9"/>
  <w15:chartTrackingRefBased/>
  <w15:docId w15:val="{CE0FADF3-4989-49BF-9633-B6868DBC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F6D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39"/>
    <w:rsid w:val="0046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94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0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0925"/>
  </w:style>
  <w:style w:type="paragraph" w:styleId="a9">
    <w:name w:val="footer"/>
    <w:basedOn w:val="a"/>
    <w:link w:val="aa"/>
    <w:uiPriority w:val="99"/>
    <w:unhideWhenUsed/>
    <w:rsid w:val="00680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2026-01-16T10:11:00Z</cp:lastPrinted>
  <dcterms:created xsi:type="dcterms:W3CDTF">2026-01-16T09:37:00Z</dcterms:created>
  <dcterms:modified xsi:type="dcterms:W3CDTF">2026-01-16T10:13:00Z</dcterms:modified>
</cp:coreProperties>
</file>