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pacing w:before="100" w:after="100" w:line="276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МЕТОДИКА ПРОВЕДЕНИЯ ЗИМНЕЙ ПРОМЕЖУТОЧНОЙ АТТЕСТАЦИИ (ЭКЗАМЕНА) ПО ДИСЦИПЛИНЕ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000002">
      <w:pPr>
        <w:spacing w:before="100" w:after="100" w:line="276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«МИКРОБИОЛОГИЯ ВИРУСОЛОГИЯ» ДЛЯ СТУДЕНТОВ 3 КУРСА СПЕЦИАЛЬНОСТИ «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Медико-профилактическое дело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000003">
      <w:pPr>
        <w:spacing w:before="100" w:after="100" w:line="276" w:lineRule="auto"/>
        <w:jc w:val="center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В 2025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-2026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 УЧЕБНОМ ГОДУ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000004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Экзаменационные вопросы размещены заранее за 1 месяц до начала сессии на официальном сайте Казанского ГМУ на странице кафедры микробиологии имени академика В.М.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Аристовского. </w:t>
      </w:r>
    </w:p>
    <w:p w14:paraId="00000005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Консультация перед экзаменом состоится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 января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 14:00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учебно-лабораторном корпусе №2 по адресу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ул.Толстого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, 6/30; в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лекционной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аудитори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на 2 этаже.</w:t>
      </w:r>
    </w:p>
    <w:p w14:paraId="00000006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Ответственный за проведение консультации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доцент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Л.Т.Баязитова</w:t>
      </w:r>
    </w:p>
    <w:p w14:paraId="00000007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>Экзамен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по дисциплине «Микробиология, вирусология» будет проведен согласно расписа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нию, согласованному с деканатом: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000008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u w:val="single"/>
        </w:rPr>
        <w:t>21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>.01.2026 г. в 9:00 (группы 3301, 3302, 3303).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000009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График экзаменов представлен на сайте Казанского ГМУ на странице кафедры микробиологии имени академика В.М.Аристовского. </w:t>
      </w:r>
    </w:p>
    <w:p w14:paraId="0000000A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Сдача экзамена не по расписанию допускается только при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наличии формы № 22 из деканата.</w:t>
      </w:r>
    </w:p>
    <w:p w14:paraId="0000000B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Дата проведения экзамена для студентов, не явившихся по уважительной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причине, будет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определена дополнительным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приказом со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списком студентов в приложении.</w:t>
      </w:r>
    </w:p>
    <w:p w14:paraId="0000000C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Экзамен будет проведен в форме письменных ответов на задания в учебно-лабораторном корпусе №2 по адресу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ул.Толстого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, 6/30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 лекционной аудитории на 2 этаже.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Студент должен предъявить зачетную книжку при входе в аудиторию. </w:t>
      </w:r>
    </w:p>
    <w:p w14:paraId="0000000D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Присутствовать на экзамене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необходимо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халате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0000000E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Для оценки полученных знаний по дисциплине «Микробиология, вирусология» студент получ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ит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комплект оценочных средств, с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остоящий из тестовых вопросов, ситуационной задачи, макропрепаратов.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00000F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Студент получ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т бланки для ответов (проштампованные листы бумаги), где необходимо на первом листе написать дату экзамена, номер группы, ФИО студента, время получения задания, вариант и номер задачи. </w:t>
      </w:r>
    </w:p>
    <w:p w14:paraId="00000010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Количество тестовых вопросов (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 одним правильным ответом) – 30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00000011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Время тестирования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решения ситуационной задачи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и ответа на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макропрепарат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-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55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минут. </w:t>
      </w:r>
    </w:p>
    <w:p w14:paraId="00000012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Студент должен: </w:t>
      </w:r>
    </w:p>
    <w:p w14:paraId="00000013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1. Дать письменные ответы на тестовые задания (Приложение 1) </w:t>
      </w:r>
    </w:p>
    <w:p w14:paraId="00000014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2. Дать письменный ответ на вопросы ситуационной задачи (Приложение 2).</w:t>
      </w:r>
    </w:p>
    <w:p w14:paraId="00000015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Дать письменный ответ на вопросы макропрепарата (Приложение 3).</w:t>
      </w:r>
    </w:p>
    <w:p w14:paraId="00000016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Студент должен указать время окончания ответа, поставить подпись. </w:t>
      </w:r>
    </w:p>
    <w:p w14:paraId="00000017">
      <w:pPr>
        <w:spacing w:before="100" w:after="100" w:line="276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Оценка полных, исчерпывающих ответов на экзаменационные задания, предлагаемые студе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нтам специальности Медико-пр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филактическое дело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» на экзамене по дисциплине «Микробиология, вирусология» в % </w:t>
      </w:r>
    </w:p>
    <w:p w14:paraId="00000018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Тестовые задания 50</w:t>
      </w:r>
    </w:p>
    <w:p w14:paraId="00000019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Ситуационная задача 30 </w:t>
      </w:r>
    </w:p>
    <w:p w14:paraId="0000001A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Макропрепарат 20</w:t>
      </w:r>
    </w:p>
    <w:p w14:paraId="0000001B">
      <w:pPr>
        <w:spacing w:before="100" w:after="10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______________________________ </w:t>
      </w:r>
    </w:p>
    <w:p w14:paraId="0000001C">
      <w:pPr>
        <w:spacing w:before="100" w:after="100" w:line="276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Примечание: некорректные ответы оцениваются в зависимости от полноты изложения (ниже объявленного процента). </w:t>
      </w:r>
    </w:p>
    <w:p w14:paraId="0000001D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Итоговую оценку промежуточной аттестации по дисциплине «Микробиология, вирусология» рассчитывает компьютерная программа согласно действующей в Казанском ГМУ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балльно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-рейтинговой системы оценки знаний студентов с учетом посещаемости лекций и лабораторных занятий, оценок, полученных по текущему контролю успеваемости, оценок за модули и экзаменационной оценки. </w:t>
      </w:r>
    </w:p>
    <w:p w14:paraId="0000001E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Итоговая оценка промежуточной аттестации выставляется в зачетную книжку, которая выдается студенту не позднее следующего дня после проведения экзамена. </w:t>
      </w:r>
    </w:p>
    <w:p w14:paraId="0000001F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Использование в процессе сдачи экзамена электронных гаджетов, а также других средств для списывания, в том числе на бумажных носителях, запрещено. За нарушение приказа студенты будут незамедлительно отстранены от продолжения аттестации с составлением акта и передачей его в деканат. </w:t>
      </w:r>
    </w:p>
    <w:p w14:paraId="00000020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</w:p>
    <w:p w14:paraId="00000021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</w:p>
    <w:p w14:paraId="00000022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</w:p>
    <w:p w14:paraId="00000023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риложение 1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000024">
      <w:pPr>
        <w:spacing w:before="100" w:after="10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Примеры тестовых заданий: </w:t>
      </w:r>
    </w:p>
    <w:p w14:paraId="00000025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Специфическую профилактику столбняка проводят: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98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4926"/>
      </w:tblGrid>
      <w:tr>
        <w:trPr>
          <w:tblCellSpacing w:w="15" w:type="dxa"/>
        </w:trPr>
        <w:tc>
          <w:tcPr>
            <w:cnfStyle w:val="101000000000"/>
            <w:tcW w:w="0" w:type="auto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center"/>
          </w:tcPr>
          <w:p w14:paraId="00000026">
            <w:pPr>
              <w:spacing w:before="100" w:after="10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Инактивированной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вакциной </w:t>
            </w:r>
          </w:p>
        </w:tc>
        <w:tc>
          <w:tcPr>
            <w:cnfStyle w:val="100000000000"/>
            <w:tcW w:w="0" w:type="auto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center"/>
          </w:tcPr>
          <w:p w14:paraId="00000027">
            <w:pPr>
              <w:spacing w:before="100" w:after="10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Бактериофагом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rPr>
          <w:tblCellSpacing w:w="15" w:type="dxa"/>
        </w:trPr>
        <w:tc>
          <w:tcPr>
            <w:cnfStyle w:val="001000100000"/>
            <w:tcW w:w="0" w:type="auto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center"/>
          </w:tcPr>
          <w:p w14:paraId="00000028">
            <w:pPr>
              <w:spacing w:before="100" w:after="10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Аттенуированной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вакциной </w:t>
            </w:r>
          </w:p>
        </w:tc>
        <w:tc>
          <w:tcPr>
            <w:cnfStyle w:val="000000100000"/>
            <w:tcW w:w="0" w:type="auto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center"/>
          </w:tcPr>
          <w:p w14:paraId="00000029">
            <w:pPr>
              <w:spacing w:before="100" w:after="10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Рекомбинантной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вакциной </w:t>
            </w:r>
          </w:p>
        </w:tc>
      </w:tr>
      <w:tr>
        <w:trPr>
          <w:tblCellSpacing w:w="15" w:type="dxa"/>
        </w:trPr>
        <w:tc>
          <w:tcPr>
            <w:cnfStyle w:val="001000010000"/>
            <w:tcW w:w="0" w:type="auto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center"/>
          </w:tcPr>
          <w:p w14:paraId="0000002A">
            <w:pPr>
              <w:spacing w:before="100" w:after="10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Анатоксином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 w:type="textWrapping"/>
            </w:r>
          </w:p>
        </w:tc>
        <w:tc>
          <w:tcPr>
            <w:cnfStyle w:val="000000010000"/>
            <w:tcW w:w="0" w:type="auto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vAlign w:val="center"/>
          </w:tcPr>
          <w:p w14:paraId="0000002B">
            <w:pPr>
              <w:spacing w:before="100" w:after="10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 w:type="textWrapping"/>
            </w:r>
          </w:p>
        </w:tc>
      </w:tr>
    </w:tbl>
    <w:p w14:paraId="0000002C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Правильный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ответ: В</w:t>
      </w:r>
    </w:p>
    <w:p w14:paraId="0000002D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У вируса гепатита С выделяют следующие антигены: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00002E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А.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HBsAg </w:t>
        <w:tab/>
        <w:tab/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Г.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HBeAg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00002F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Б.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HСс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Ag</w:t>
        <w:tab/>
        <w:tab/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Д.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HВcAg</w:t>
      </w:r>
    </w:p>
    <w:p w14:paraId="00000030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В.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val="en-US" w:eastAsia="ru-RU"/>
        </w:rPr>
        <w:t>HGcAg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000031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Правильный ответ: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Б</w:t>
      </w:r>
    </w:p>
    <w:p w14:paraId="00000032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Приложение 2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000033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 xml:space="preserve">Образец ситуационной задачи </w:t>
      </w:r>
    </w:p>
    <w:p w14:paraId="00000034">
      <w:pPr>
        <w:spacing w:line="276" w:lineRule="auto"/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отделении «искусственной почки» находится пациент с жалобами на боли в пояснице и отсутствие мочеиспускания. Из анамнеза известно, пациент работает нефтяником на буровой, расположенной в лесу, и живет в вагончике, где часто находят следы пребывания мышей. Был поставлен предварительный диагноз «геморрагическая лихорадка с почечным синдромом». В серологическую лабораторию были направлены парные сыворотки. </w:t>
      </w:r>
    </w:p>
    <w:p w14:paraId="00000035">
      <w:pPr>
        <w:spacing w:line="276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 Какой микроб является возбудителем данного заболевания?  </w:t>
      </w:r>
    </w:p>
    <w:p w14:paraId="00000036">
      <w:pPr>
        <w:spacing w:line="276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 Назовите источник и пути передачи возбудителя ГЛПС?</w:t>
      </w:r>
    </w:p>
    <w:p w14:paraId="00000037">
      <w:pPr>
        <w:spacing w:after="0" w:line="276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Каким должен быть результат исследования парных сывороток крови для выявления антител к возбудителю, подтверждающий диагноз ГЛПС?</w:t>
      </w:r>
    </w:p>
    <w:p w14:paraId="00000038">
      <w:pPr>
        <w:spacing w:after="0" w:line="276" w:lineRule="auto"/>
        <w:jc w:val="both"/>
        <w:rPr>
          <w:rFonts w:ascii="Times New Roman" w:cs="Times New Roman" w:hAnsi="Times New Roman"/>
          <w:sz w:val="24"/>
          <w:szCs w:val="24"/>
        </w:rPr>
      </w:pPr>
    </w:p>
    <w:p w14:paraId="00000039">
      <w:pPr>
        <w:spacing w:line="276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Эталон ответа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на ситуационную задачу</w:t>
      </w:r>
    </w:p>
    <w:p w14:paraId="0000003A">
      <w:pPr>
        <w:pStyle w:val="ListParagraph"/>
        <w:numPr>
          <w:ilvl w:val="0"/>
          <w:numId w:val="1"/>
        </w:numPr>
        <w:spacing w:after="200" w:line="276" w:lineRule="auto"/>
        <w:ind w:left="-284" w:firstLine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Геморрагическую лихорадку с почечным синдромом вызывает вирус семейства </w:t>
      </w:r>
      <w:r>
        <w:rPr>
          <w:rFonts w:ascii="Times New Roman" w:cs="Times New Roman" w:hAnsi="Times New Roman"/>
          <w:sz w:val="24"/>
          <w:szCs w:val="24"/>
          <w:lang w:val="en-US"/>
        </w:rPr>
        <w:t>Hantaviridae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рода </w:t>
      </w:r>
      <w:r>
        <w:rPr>
          <w:rFonts w:ascii="Times New Roman" w:cs="Times New Roman" w:hAnsi="Times New Roman"/>
          <w:sz w:val="24"/>
          <w:szCs w:val="24"/>
          <w:lang w:val="en-US"/>
        </w:rPr>
        <w:t>Orthoh</w:t>
      </w:r>
      <w:r>
        <w:rPr>
          <w:rFonts w:ascii="Times New Roman" w:cs="Times New Roman" w:hAnsi="Times New Roman"/>
          <w:sz w:val="24"/>
          <w:szCs w:val="24"/>
          <w:lang w:val="en-US"/>
        </w:rPr>
        <w:t>antavirus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3B">
      <w:pPr>
        <w:pStyle w:val="ListParagraph"/>
        <w:numPr>
          <w:ilvl w:val="0"/>
          <w:numId w:val="1"/>
        </w:numPr>
        <w:spacing w:after="200" w:line="276" w:lineRule="auto"/>
        <w:ind w:left="-284" w:firstLine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Источником инфекции являются мелкие грызуны, чаще всего мышевидные грызуны. Вирус передается человеку аэрогенным механизмом (воздушно-пылевым путем), </w:t>
      </w:r>
      <w:r>
        <w:rPr>
          <w:rFonts w:ascii="Times New Roman" w:cs="Times New Roman" w:hAnsi="Times New Roman"/>
          <w:sz w:val="24"/>
          <w:szCs w:val="24"/>
        </w:rPr>
        <w:t>фекально-оральным (алиментарным, контактно-бытовым путями). Возможен контактный механизм передачи при отлове грызунов.</w:t>
      </w:r>
    </w:p>
    <w:p w14:paraId="0000003C">
      <w:pPr>
        <w:pStyle w:val="ListParagraph"/>
        <w:numPr>
          <w:ilvl w:val="0"/>
          <w:numId w:val="1"/>
        </w:numPr>
        <w:spacing w:after="200" w:line="276" w:lineRule="auto"/>
        <w:ind w:left="-284" w:firstLine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 исследовании парных сывороток диагноз считают подтвержденным серологическим методом при обнаружении нарастания титров антител в 4 и более раза.</w:t>
      </w:r>
    </w:p>
    <w:p w14:paraId="0000003D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Образец макропрепарата</w:t>
      </w:r>
    </w:p>
    <w:p w14:paraId="0000003E">
      <w:pPr>
        <w:spacing w:after="0" w:line="276" w:lineRule="auto"/>
        <w:ind w:firstLine="709"/>
        <w:jc w:val="right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Приложение 3</w:t>
      </w:r>
    </w:p>
    <w:p w14:paraId="0000003F">
      <w:pPr>
        <w:spacing w:after="0" w:line="276" w:lineRule="auto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Эталон ответа на макропрепарат:</w:t>
      </w:r>
    </w:p>
    <w:p w14:paraId="00000040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627"/>
        <w:gridCol w:w="1877"/>
        <w:gridCol w:w="3429"/>
        <w:gridCol w:w="3529"/>
      </w:tblGrid>
      <w:tr>
        <w:trPr>
          <w:trHeight w:val="1"/>
        </w:trPr>
        <w:tc>
          <w:tcPr>
            <w:cnfStyle w:val="000010100000"/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Segoe UI Symbol" w:hAnsi="Times New Roman"/>
                <w:sz w:val="24"/>
                <w:szCs w:val="24"/>
              </w:rPr>
              <w:t>№</w:t>
            </w:r>
          </w:p>
          <w:p w14:paraId="00000042">
            <w:pPr>
              <w:spacing w:after="0" w:line="276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cnfStyle w:val="000001100000"/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3">
            <w:pPr>
              <w:spacing w:after="0" w:line="276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Название препарата</w:t>
            </w:r>
          </w:p>
        </w:tc>
        <w:tc>
          <w:tcPr>
            <w:cnfStyle w:val="000010100000"/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4">
            <w:pPr>
              <w:spacing w:after="0" w:line="276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Состав</w:t>
            </w:r>
          </w:p>
        </w:tc>
        <w:tc>
          <w:tcPr>
            <w:cnfStyle w:val="000001100000"/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5">
            <w:pPr>
              <w:spacing w:after="0" w:line="276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Применение</w:t>
            </w:r>
          </w:p>
        </w:tc>
      </w:tr>
      <w:tr>
        <w:trPr>
          <w:trHeight w:val="1"/>
        </w:trPr>
        <w:tc>
          <w:tcPr>
            <w:cnfStyle w:val="000010010000"/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6">
            <w:pPr>
              <w:spacing w:after="0" w:line="276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cnfStyle w:val="000001010000"/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7">
            <w:pPr>
              <w:spacing w:after="0" w:line="276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Вакцина коревая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культуральная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живая сухая</w:t>
            </w:r>
          </w:p>
        </w:tc>
        <w:tc>
          <w:tcPr>
            <w:cnfStyle w:val="000010010000"/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8">
            <w:pPr>
              <w:spacing w:after="0" w:line="276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Аттенуированный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штамм вируса кори (Л-16)</w:t>
            </w:r>
          </w:p>
        </w:tc>
        <w:tc>
          <w:tcPr>
            <w:cnfStyle w:val="000001010000"/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00049">
            <w:pPr>
              <w:spacing w:after="0" w:line="276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Детям 1-го года жизни подкожно, 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 xml:space="preserve">с последующей ревакцинацией в 6 </w:t>
            </w:r>
            <w:r>
              <w:rPr>
                <w:rFonts w:ascii="Times New Roman" w:cs="Times New Roman" w:hAnsi="Times New Roman"/>
                <w:sz w:val="24"/>
                <w:szCs w:val="24"/>
                <w:shd w:val="clear" w:color="auto" w:fill="ffffff"/>
              </w:rPr>
              <w:t>лет, согласно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национальному календарю профилактических прививок</w:t>
            </w:r>
          </w:p>
        </w:tc>
      </w:tr>
    </w:tbl>
    <w:p w14:paraId="0000004A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14:paraId="0000004B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Перечень макропрепаратов</w:t>
      </w:r>
    </w:p>
    <w:p w14:paraId="0000004C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1. Вакцины</w:t>
      </w:r>
    </w:p>
    <w:p w14:paraId="0000004D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2. Сыворотки</w:t>
      </w:r>
    </w:p>
    <w:p w14:paraId="0000004E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3. Иммуноглобулины</w:t>
      </w:r>
    </w:p>
    <w:p w14:paraId="0000004F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4. Диагностикумы</w:t>
      </w:r>
    </w:p>
    <w:p w14:paraId="00000050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5. Бактериофаги</w:t>
      </w:r>
    </w:p>
    <w:p w14:paraId="00000051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6. Антибиотики</w:t>
      </w:r>
    </w:p>
    <w:p w14:paraId="00000052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7. Химиопрепараты</w:t>
      </w:r>
    </w:p>
    <w:p w14:paraId="00000053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8. Аллергены</w:t>
      </w:r>
    </w:p>
    <w:p w14:paraId="00000054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</w:t>
      </w:r>
      <w:r>
        <w:rPr>
          <w:rFonts w:ascii="Times New Roman" w:cs="Times New Roman" w:eastAsia="Times New Roman" w:hAnsi="Times New Roman"/>
          <w:sz w:val="24"/>
          <w:szCs w:val="24"/>
        </w:rPr>
        <w:t>Эубиотики</w:t>
      </w:r>
    </w:p>
    <w:p w14:paraId="00000055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10. Диски с антибиотиками</w:t>
      </w:r>
    </w:p>
    <w:p w14:paraId="00000056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11. Противовирусные препараты</w:t>
      </w:r>
    </w:p>
    <w:p w14:paraId="00000057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12. </w:t>
      </w:r>
      <w:r>
        <w:rPr>
          <w:rFonts w:ascii="Times New Roman" w:cs="Times New Roman" w:eastAsia="Times New Roman" w:hAnsi="Times New Roman"/>
          <w:sz w:val="24"/>
          <w:szCs w:val="24"/>
        </w:rPr>
        <w:t>Противопротозойные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препараты</w:t>
      </w:r>
    </w:p>
    <w:p w14:paraId="00000058">
      <w:pPr>
        <w:spacing w:after="0" w:line="276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13. </w:t>
      </w:r>
      <w:r>
        <w:rPr>
          <w:rFonts w:ascii="Times New Roman" w:cs="Times New Roman" w:eastAsia="Times New Roman" w:hAnsi="Times New Roman"/>
          <w:sz w:val="24"/>
          <w:szCs w:val="24"/>
        </w:rPr>
        <w:t>Противогрибовые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препараты</w:t>
      </w:r>
    </w:p>
    <w:p w14:paraId="00000059">
      <w:pPr>
        <w:spacing w:before="100" w:after="100" w:line="276" w:lineRule="auto"/>
        <w:ind w:left="567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  <w:t>Для подготовки к экзамену рекомендуется использовать материалы лекций, обязательную и дополнительную литературу: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00005A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u w:val="single"/>
          <w:lang w:eastAsia="ru-RU"/>
        </w:rPr>
        <w:t>Обязательная: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000005B">
      <w:pPr>
        <w:spacing w:line="240" w:lineRule="auto"/>
        <w:rPr>
          <w:rStyle w:val="Value"/>
          <w:rFonts w:ascii="Times New Roman" w:cs="Times New Roman" w:hAnsi="Times New Roman"/>
          <w:sz w:val="24"/>
          <w:szCs w:val="24"/>
        </w:rPr>
      </w:pPr>
      <w:r>
        <w:rPr>
          <w:rStyle w:val="Hilight"/>
          <w:rFonts w:ascii="Times New Roman" w:cs="Times New Roman" w:hAnsi="Times New Roman"/>
          <w:sz w:val="24"/>
          <w:szCs w:val="24"/>
        </w:rPr>
        <w:t xml:space="preserve">1. </w:t>
      </w:r>
      <w:r>
        <w:rPr>
          <w:rStyle w:val="Hilight"/>
          <w:rFonts w:ascii="Times New Roman" w:cs="Times New Roman" w:hAnsi="Times New Roman"/>
          <w:sz w:val="24"/>
          <w:szCs w:val="24"/>
        </w:rPr>
        <w:t>Медицинская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Hilight"/>
          <w:rFonts w:ascii="Times New Roman" w:cs="Times New Roman" w:hAnsi="Times New Roman"/>
          <w:sz w:val="24"/>
          <w:szCs w:val="24"/>
        </w:rPr>
        <w:t>микробиология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, </w:t>
      </w:r>
      <w:r>
        <w:rPr>
          <w:rStyle w:val="Hilight"/>
          <w:rFonts w:ascii="Times New Roman" w:cs="Times New Roman" w:hAnsi="Times New Roman"/>
          <w:sz w:val="24"/>
          <w:szCs w:val="24"/>
        </w:rPr>
        <w:t>вирусология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 и </w:t>
      </w:r>
      <w:r>
        <w:rPr>
          <w:rStyle w:val="Value"/>
          <w:rFonts w:ascii="Times New Roman" w:cs="Times New Roman" w:hAnsi="Times New Roman"/>
          <w:sz w:val="24"/>
          <w:szCs w:val="24"/>
        </w:rPr>
        <w:t>иммунология :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 в 2 т. Т. 1. : учебник / под ред. В. В. Зверева, М. Н. Бойченко. - 2-е </w:t>
      </w:r>
      <w:r>
        <w:rPr>
          <w:rStyle w:val="Value"/>
          <w:rFonts w:ascii="Times New Roman" w:cs="Times New Roman" w:hAnsi="Times New Roman"/>
          <w:sz w:val="24"/>
          <w:szCs w:val="24"/>
        </w:rPr>
        <w:t>изд. ,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Value"/>
          <w:rFonts w:ascii="Times New Roman" w:cs="Times New Roman" w:hAnsi="Times New Roman"/>
          <w:sz w:val="24"/>
          <w:szCs w:val="24"/>
        </w:rPr>
        <w:t>перераб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. и доп. - Москва : ГЭОТАР-Медиа, 2022. - 448 с. - ISBN 978-5-9704-7099-2. - </w:t>
      </w:r>
      <w:r>
        <w:rPr>
          <w:rStyle w:val="Value"/>
          <w:rFonts w:ascii="Times New Roman" w:cs="Times New Roman" w:hAnsi="Times New Roman"/>
          <w:sz w:val="24"/>
          <w:szCs w:val="24"/>
        </w:rPr>
        <w:t>Текст :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 электронный // ЭБС "Консультант студента" : [сайт]. - URL : </w:t>
      </w:r>
      <w:r>
        <w:fldChar w:fldCharType="begin"/>
      </w:r>
      <w:r>
        <w:instrText xml:space="preserve">HYPERLINK "https://www.studentlibrary.ru/book/ISBN9785970470992.html"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</w:rPr>
        <w:t>https://www.studentlibrary.ru/book/ISBN9785970470992.html</w:t>
      </w:r>
      <w:r>
        <w:fldChar w:fldCharType="end"/>
      </w:r>
    </w:p>
    <w:p w14:paraId="0000005C">
      <w:pPr>
        <w:spacing w:line="240" w:lineRule="auto"/>
        <w:rPr>
          <w:rStyle w:val="Value"/>
          <w:rFonts w:ascii="Times New Roman" w:cs="Times New Roman" w:hAnsi="Times New Roman"/>
          <w:sz w:val="24"/>
          <w:szCs w:val="24"/>
        </w:rPr>
      </w:pPr>
      <w:r>
        <w:rPr>
          <w:rStyle w:val="Hilight"/>
          <w:rFonts w:ascii="Times New Roman" w:cs="Times New Roman" w:hAnsi="Times New Roman"/>
          <w:sz w:val="24"/>
          <w:szCs w:val="24"/>
        </w:rPr>
        <w:t xml:space="preserve">2. </w:t>
      </w:r>
      <w:r>
        <w:rPr>
          <w:rStyle w:val="Hilight"/>
          <w:rFonts w:ascii="Times New Roman" w:cs="Times New Roman" w:hAnsi="Times New Roman"/>
          <w:sz w:val="24"/>
          <w:szCs w:val="24"/>
        </w:rPr>
        <w:t>Медицинская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Hilight"/>
          <w:rFonts w:ascii="Times New Roman" w:cs="Times New Roman" w:hAnsi="Times New Roman"/>
          <w:sz w:val="24"/>
          <w:szCs w:val="24"/>
        </w:rPr>
        <w:t>микробиология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, </w:t>
      </w:r>
      <w:r>
        <w:rPr>
          <w:rStyle w:val="Hilight"/>
          <w:rFonts w:ascii="Times New Roman" w:cs="Times New Roman" w:hAnsi="Times New Roman"/>
          <w:sz w:val="24"/>
          <w:szCs w:val="24"/>
        </w:rPr>
        <w:t>вирусология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 и </w:t>
      </w:r>
      <w:r>
        <w:rPr>
          <w:rStyle w:val="Value"/>
          <w:rFonts w:ascii="Times New Roman" w:cs="Times New Roman" w:hAnsi="Times New Roman"/>
          <w:sz w:val="24"/>
          <w:szCs w:val="24"/>
        </w:rPr>
        <w:t>иммунология :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 в 2 т. Т. 2. : учебник / под ред. В. В. Зверева, М. Н. Бойченко. - 2-е </w:t>
      </w:r>
      <w:r>
        <w:rPr>
          <w:rStyle w:val="Value"/>
          <w:rFonts w:ascii="Times New Roman" w:cs="Times New Roman" w:hAnsi="Times New Roman"/>
          <w:sz w:val="24"/>
          <w:szCs w:val="24"/>
        </w:rPr>
        <w:t>изд. ,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 </w:t>
      </w:r>
      <w:r>
        <w:rPr>
          <w:rStyle w:val="Value"/>
          <w:rFonts w:ascii="Times New Roman" w:cs="Times New Roman" w:hAnsi="Times New Roman"/>
          <w:sz w:val="24"/>
          <w:szCs w:val="24"/>
        </w:rPr>
        <w:t>перераб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. и доп. - Москва : ГЭОТАР-Медиа, 2022. - 472 с. - ISBN 978-5-9704-7100-5. - </w:t>
      </w:r>
      <w:r>
        <w:rPr>
          <w:rStyle w:val="Value"/>
          <w:rFonts w:ascii="Times New Roman" w:cs="Times New Roman" w:hAnsi="Times New Roman"/>
          <w:sz w:val="24"/>
          <w:szCs w:val="24"/>
        </w:rPr>
        <w:t>Текст :</w:t>
      </w:r>
      <w:r>
        <w:rPr>
          <w:rStyle w:val="Value"/>
          <w:rFonts w:ascii="Times New Roman" w:cs="Times New Roman" w:hAnsi="Times New Roman"/>
          <w:sz w:val="24"/>
          <w:szCs w:val="24"/>
        </w:rPr>
        <w:t xml:space="preserve"> электронный // ЭБС "Консультант студента" : [сайт]. - URL : </w:t>
      </w:r>
      <w:r>
        <w:fldChar w:fldCharType="begin"/>
      </w:r>
      <w:r>
        <w:instrText xml:space="preserve">HYPERLINK "https://www.studentlibrary.ru/book/ISBN9785970471005.html"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</w:rPr>
        <w:t>https://www.studentlibrary.ru/book/ISBN9785970471005.html</w:t>
      </w:r>
      <w:r>
        <w:fldChar w:fldCharType="end"/>
      </w:r>
    </w:p>
    <w:p w14:paraId="0000005D">
      <w:pPr>
        <w:rPr>
          <w:rStyle w:val="Hyperlink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3. </w:t>
      </w:r>
      <w:r>
        <w:rPr>
          <w:rFonts w:ascii="Times New Roman" w:cs="Times New Roman" w:hAnsi="Times New Roman"/>
          <w:bCs/>
          <w:sz w:val="24"/>
          <w:szCs w:val="24"/>
        </w:rPr>
        <w:t xml:space="preserve">Микробиология, вирусология. Руководство к практическим </w:t>
      </w:r>
      <w:r>
        <w:rPr>
          <w:rFonts w:ascii="Times New Roman" w:cs="Times New Roman" w:hAnsi="Times New Roman"/>
          <w:bCs/>
          <w:sz w:val="24"/>
          <w:szCs w:val="24"/>
        </w:rPr>
        <w:t>занятиям :</w:t>
      </w:r>
      <w:r>
        <w:rPr>
          <w:rFonts w:ascii="Times New Roman" w:cs="Times New Roman" w:hAnsi="Times New Roman"/>
          <w:bCs/>
          <w:sz w:val="24"/>
          <w:szCs w:val="24"/>
        </w:rPr>
        <w:t xml:space="preserve"> учебное пособие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 xml:space="preserve">/ под ред. В. В. Зверева, М. Н. Бойченко. - 2-е </w:t>
      </w:r>
      <w:r>
        <w:rPr>
          <w:rFonts w:ascii="Times New Roman" w:cs="Times New Roman" w:hAnsi="Times New Roman"/>
          <w:bCs/>
          <w:sz w:val="24"/>
          <w:szCs w:val="24"/>
        </w:rPr>
        <w:t>изд. ,</w:t>
      </w:r>
      <w:r>
        <w:rPr>
          <w:rFonts w:ascii="Times New Roman" w:cs="Times New Roman" w:hAnsi="Times New Roman"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Cs/>
          <w:sz w:val="24"/>
          <w:szCs w:val="24"/>
        </w:rPr>
        <w:t>перераб</w:t>
      </w:r>
      <w:r>
        <w:rPr>
          <w:rFonts w:ascii="Times New Roman" w:cs="Times New Roman" w:hAnsi="Times New Roman"/>
          <w:bCs/>
          <w:sz w:val="24"/>
          <w:szCs w:val="24"/>
        </w:rPr>
        <w:t xml:space="preserve">. и доп. - Москва : ГЭОТАР-Медиа, 2022. - 408 с. - ISBN 978-5-9704-6711-4. - </w:t>
      </w:r>
      <w:r>
        <w:rPr>
          <w:rFonts w:ascii="Times New Roman" w:cs="Times New Roman" w:hAnsi="Times New Roman"/>
          <w:bCs/>
          <w:sz w:val="24"/>
          <w:szCs w:val="24"/>
        </w:rPr>
        <w:t>Текст :</w:t>
      </w:r>
      <w:r>
        <w:rPr>
          <w:rFonts w:ascii="Times New Roman" w:cs="Times New Roman" w:hAnsi="Times New Roman"/>
          <w:bCs/>
          <w:sz w:val="24"/>
          <w:szCs w:val="24"/>
        </w:rPr>
        <w:t xml:space="preserve"> электронный // ЭБС "Консультант студента" : [сайт]. - URL : </w:t>
      </w:r>
      <w:r>
        <w:fldChar w:fldCharType="begin"/>
      </w:r>
      <w:r>
        <w:instrText xml:space="preserve">HYPERLINK "https://www.studentlibrary.ru/book/ISBN9785970467114.html"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</w:rPr>
        <w:t>https://www.studentlibrary.ru/book/ISBN9785970467114.html</w:t>
      </w:r>
      <w:r>
        <w:fldChar w:fldCharType="end"/>
      </w:r>
    </w:p>
    <w:p w14:paraId="0000005E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Дополнительная: </w:t>
      </w:r>
    </w:p>
    <w:p w14:paraId="0000005F">
      <w:pPr>
        <w:spacing w:before="100" w:after="1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Учебные пособия в ЭБС на официальном сайте Казанского ГМУ: </w:t>
      </w:r>
    </w:p>
    <w:p w14:paraId="00000060">
      <w:pPr>
        <w:spacing w:before="100" w:after="10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Медицинская микробиология, вирусология и иммунология. Том </w:t>
      </w:r>
      <w:r>
        <w:rPr>
          <w:rFonts w:ascii="Times New Roman" w:cs="Times New Roman" w:eastAsia="Times New Roman" w:hAnsi="Times New Roman"/>
          <w:sz w:val="24"/>
          <w:szCs w:val="24"/>
        </w:rPr>
        <w:t>1 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учебник / под ред. В. В. Зверева, М. Н. Бойченко. - 3-е изд., </w:t>
      </w:r>
      <w:r>
        <w:rPr>
          <w:rFonts w:ascii="Times New Roman" w:cs="Times New Roman" w:eastAsia="Times New Roman" w:hAnsi="Times New Roman"/>
          <w:sz w:val="24"/>
          <w:szCs w:val="24"/>
        </w:rPr>
        <w:t>перераб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и доп. - </w:t>
      </w:r>
      <w:r>
        <w:rPr>
          <w:rFonts w:ascii="Times New Roman" w:cs="Times New Roman" w:eastAsia="Times New Roman" w:hAnsi="Times New Roman"/>
          <w:sz w:val="24"/>
          <w:szCs w:val="24"/>
        </w:rPr>
        <w:t>Москва 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ГЭОТАР-Медиа, 2025. - 448 с. (Главы 8-13) - ISBN 978-5-9704-9044-0, DOI: 10.33029/9704- 9044-0-MMIC-2025-1-448. - Электронная версия доступна на сайте ЭБС "Консультант студента</w:t>
      </w:r>
      <w:r>
        <w:rPr>
          <w:rFonts w:ascii="Times New Roman" w:cs="Times New Roman" w:eastAsia="Times New Roman" w:hAnsi="Times New Roman"/>
          <w:sz w:val="24"/>
          <w:szCs w:val="24"/>
        </w:rPr>
        <w:t>" 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[сайт]. URL: https://www.studentlibrary.ru/book/ISBN9785970490440.html. - Режим доступа: по подписке. - Текст: электронный</w:t>
      </w:r>
    </w:p>
    <w:p w14:paraId="00000061">
      <w:pPr>
        <w:spacing w:before="100" w:after="100" w:line="240" w:lineRule="auto"/>
        <w:ind w:left="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Микробиология, вирусология. Руководство к практическим </w:t>
      </w:r>
      <w:r>
        <w:rPr>
          <w:rFonts w:ascii="Times New Roman" w:cs="Times New Roman" w:hAnsi="Times New Roman"/>
          <w:sz w:val="24"/>
          <w:szCs w:val="24"/>
        </w:rPr>
        <w:t>занятиям :</w:t>
      </w:r>
      <w:r>
        <w:rPr>
          <w:rFonts w:ascii="Times New Roman" w:cs="Times New Roman" w:hAnsi="Times New Roman"/>
          <w:sz w:val="24"/>
          <w:szCs w:val="24"/>
        </w:rPr>
        <w:t xml:space="preserve"> учебное пособие / под ред. В.В. Зверева, М.Н. Бойченко. - 2-е изд., </w:t>
      </w:r>
      <w:r>
        <w:rPr>
          <w:rFonts w:ascii="Times New Roman" w:cs="Times New Roman" w:hAnsi="Times New Roman"/>
          <w:sz w:val="24"/>
          <w:szCs w:val="24"/>
        </w:rPr>
        <w:t>перераб</w:t>
      </w:r>
      <w:r>
        <w:rPr>
          <w:rFonts w:ascii="Times New Roman" w:cs="Times New Roman" w:hAnsi="Times New Roman"/>
          <w:sz w:val="24"/>
          <w:szCs w:val="24"/>
        </w:rPr>
        <w:t xml:space="preserve">. и доп. - </w:t>
      </w:r>
      <w:r>
        <w:rPr>
          <w:rFonts w:ascii="Times New Roman" w:cs="Times New Roman" w:hAnsi="Times New Roman"/>
          <w:sz w:val="24"/>
          <w:szCs w:val="24"/>
        </w:rPr>
        <w:t>Москва :</w:t>
      </w:r>
      <w:r>
        <w:rPr>
          <w:rFonts w:ascii="Times New Roman" w:cs="Times New Roman" w:hAnsi="Times New Roman"/>
          <w:sz w:val="24"/>
          <w:szCs w:val="24"/>
        </w:rPr>
        <w:t xml:space="preserve"> ГЭОТАР-Медиа, 2025. - 408 с. - ISBN 9785970493687, DOI: 10.33029/9704-6711-4-MIC-2022-1-408. (Модуль 9) - Электронная версия доступна на сайте ЭБС "Консультант студента</w:t>
      </w:r>
      <w:r>
        <w:rPr>
          <w:rFonts w:ascii="Times New Roman" w:cs="Times New Roman" w:hAnsi="Times New Roman"/>
          <w:sz w:val="24"/>
          <w:szCs w:val="24"/>
        </w:rPr>
        <w:t>" :</w:t>
      </w:r>
      <w:r>
        <w:rPr>
          <w:rFonts w:ascii="Times New Roman" w:cs="Times New Roman" w:hAnsi="Times New Roman"/>
          <w:sz w:val="24"/>
          <w:szCs w:val="24"/>
        </w:rPr>
        <w:t xml:space="preserve"> [сайт]. URL: </w:t>
      </w:r>
      <w:r>
        <w:rPr>
          <w:rFonts w:ascii="Times New Roman" w:cs="Times New Roman" w:hAnsi="Times New Roman"/>
          <w:sz w:val="24"/>
          <w:szCs w:val="24"/>
        </w:rPr>
        <w:t>https://www.studentlibrary.ru/book/ISBN9785970493687.html  -</w:t>
      </w:r>
      <w:r>
        <w:rPr>
          <w:rFonts w:ascii="Times New Roman" w:cs="Times New Roman" w:hAnsi="Times New Roman"/>
          <w:sz w:val="24"/>
          <w:szCs w:val="24"/>
        </w:rPr>
        <w:t xml:space="preserve"> Режим доступа: по подписке. - Текст: электронный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 w14:paraId="00000062">
      <w:pPr>
        <w:pStyle w:val="ListParagraph"/>
        <w:spacing w:before="100" w:after="10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3. Микробиология, вирусология: учебно-методическое пособие для обучающихся по специальности 32.05.01 "Медико-профилактическое дело" / Казанский государственный медицинский университет Министерства здравоохранения Российской Федерации, Кафедра микробиологии имени академика В. М.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Аристовского;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составители: Исаева Г. Ш. [и др.]. - Электрон. текстовые дан. (1,17 МБ). -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Казань: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Казанский ГМУ, 2020. - 263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с. :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ил. -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Библиогр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.: с. 262-263. - Б. ц.</w:t>
      </w:r>
    </w:p>
    <w:p w14:paraId="00000063">
      <w:pPr>
        <w:pStyle w:val="ListParagraph"/>
        <w:spacing w:before="100" w:after="10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4. Противомикробные химиотерапевтические препараты: учебное пособие для студентов медицинских вузов /Валеева Ю.В., Хабирова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Г.З.,: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КГМУ , 2015 </w:t>
      </w:r>
    </w:p>
    <w:p w14:paraId="00000064">
      <w:pPr>
        <w:pStyle w:val="ListParagraph"/>
        <w:spacing w:before="100" w:after="10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5. Методы культивирования и биохимической идентификации бактерий: учебное пособие для студентов медицинских вузов / Валеева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Ю.В.,Савинова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А.Н., Гуляев П.Е. : КГМУ , 2017 </w:t>
      </w:r>
    </w:p>
    <w:p w14:paraId="00000065">
      <w:pPr>
        <w:pStyle w:val="ListParagraph"/>
        <w:spacing w:before="100" w:after="10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6. Пищевые отравления микробной природы: учебное пособие для студентов медицинских вузов / Валеева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Ю.В.,Савинова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: КГМУ , 2017</w:t>
      </w:r>
    </w:p>
    <w:p w14:paraId="00000066">
      <w:pPr>
        <w:pStyle w:val="ListParagraph"/>
        <w:spacing w:before="100" w:after="10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7. Микробиологический мониторинг в медицинских организациях/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Г.Ш.Исаева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Г.Г.Бадамишина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В.Б.Зиатдинов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А.А.Валеев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: КГМУ, 2017</w:t>
      </w:r>
    </w:p>
    <w:p w14:paraId="00000067">
      <w:pPr>
        <w:pStyle w:val="ListParagraph"/>
        <w:spacing w:before="100" w:after="10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8. Вирусы бактерий: учебное пособие для студентов / Валеева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Ю.В.,Савинова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А.Н.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: КГМУ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, 2018</w:t>
      </w:r>
    </w:p>
    <w:p w14:paraId="00000068">
      <w:pPr>
        <w:pStyle w:val="Абзацсписка1"/>
        <w:tabs>
          <w:tab w:val="left" w:pos="284"/>
        </w:tabs>
        <w:spacing w:after="0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Учебное пособие «Возбудители микозов: этиология, эпидемиология, микробиологическая диагностика, лечение и профилактика». Лисовская С.А., Исаева Г.Ш., 2019. – Казань, КГМУ. 52с. </w:t>
      </w:r>
    </w:p>
    <w:p w14:paraId="00000069">
      <w:pPr>
        <w:pStyle w:val="Абзацсписка1"/>
        <w:tabs>
          <w:tab w:val="left" w:pos="284"/>
        </w:tabs>
        <w:spacing w:after="0"/>
        <w:ind w:left="0" w:right="0" w:firstLine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10. Физиология бактерий: учебное пособие для студентов специальности 32.05.01 "Медико-профилактическое дело" / А. Н. Савинова, П. Е. </w:t>
      </w:r>
      <w:r>
        <w:rPr>
          <w:rFonts w:ascii="Times New Roman" w:hAnsi="Times New Roman"/>
          <w:sz w:val="24"/>
          <w:szCs w:val="24"/>
          <w:shd w:val="clear" w:color="auto" w:fill="ffffff"/>
        </w:rPr>
        <w:t>Гуляев;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Казанский государственный медицинский университет Министерства здравоохранения Российской Федерации, Кафедра микробиологии имени академика В. М. Аристовского. -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Казань: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Казанский ГМУ, 2021. - 55 с.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0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36"/>
    <w:rsid w:val="000115B2"/>
    <w:rsid w:val="00042DA3"/>
    <w:rsid w:val="00177556"/>
    <w:rsid w:val="001A7F42"/>
    <w:rsid w:val="001D357D"/>
    <w:rsid w:val="001D5ACE"/>
    <w:rsid w:val="001E6B2E"/>
    <w:rsid w:val="00223747"/>
    <w:rsid w:val="002B1CB3"/>
    <w:rsid w:val="003721E8"/>
    <w:rsid w:val="003E1C46"/>
    <w:rsid w:val="004B4D3E"/>
    <w:rsid w:val="004C3EA0"/>
    <w:rsid w:val="004E342C"/>
    <w:rsid w:val="005D04D4"/>
    <w:rsid w:val="005D20A3"/>
    <w:rsid w:val="005F4DA2"/>
    <w:rsid w:val="006558E0"/>
    <w:rsid w:val="006C48BA"/>
    <w:rsid w:val="00874D7E"/>
    <w:rsid w:val="00A1789D"/>
    <w:rsid w:val="00AB5BE8"/>
    <w:rsid w:val="00AE70D8"/>
    <w:rsid w:val="00B733F8"/>
    <w:rsid w:val="00C477AC"/>
    <w:rsid w:val="00D22659"/>
    <w:rsid w:val="00D2711B"/>
    <w:rsid w:val="00D623F0"/>
    <w:rsid w:val="00D75474"/>
    <w:rsid w:val="00DB2EAD"/>
    <w:rsid w:val="00E35787"/>
    <w:rsid w:val="00E41E92"/>
    <w:rsid w:val="00F24DC2"/>
    <w:rsid w:val="00F76B52"/>
    <w:rsid w:val="00F91FB0"/>
    <w:rsid w:val="00FB01E4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EB82"/>
  <w15:docId w15:val="{5D058D10-E178-4CDB-9F59-C208E3F124A8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link w:val="Заголовок1Знак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Value">
    <w:name w:val="Value"/>
    <w:basedOn w:val="DefaultParagraphFont"/>
    <w:uiPriority w:val="99"/>
  </w:style>
  <w:style w:type="character" w:customStyle="1" w:styleId="Hilight">
    <w:name w:val="Hilight"/>
    <w:basedOn w:val="DefaultParagraphFont"/>
    <w:uiPriority w:val="99"/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ListParagraph">
    <w:name w:val="List Paragraph"/>
    <w:basedOn w:val="Normal"/>
    <w:link w:val="АбзацспискаЗнак"/>
    <w:uiPriority w:val="34"/>
    <w:qFormat w:val="on"/>
    <w:pPr>
      <w:ind w:left="720"/>
      <w:contextualSpacing w:val="on"/>
    </w:pPr>
  </w:style>
  <w:style w:type="character" w:customStyle="1" w:styleId="АбзацспискаЗнак">
    <w:name w:val="Абзац списка Знак"/>
    <w:link w:val="ListParagraph"/>
    <w:uiPriority w:val="34"/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customStyle="1" w:styleId="Абзацсписка1">
    <w:name w:val="Абзац списка1"/>
    <w:basedOn w:val="Normal"/>
    <w:uiPriority w:val="99"/>
    <w:pPr>
      <w:spacing w:after="200" w:line="276" w:lineRule="auto"/>
      <w:ind w:left="720"/>
      <w:contextualSpacing w:val="on"/>
    </w:pPr>
    <w:rPr>
      <w:rFonts w:ascii="Calibri" w:cs="Times New Roman" w:eastAsia="Times New Roman" w:hAnsi="Calibri"/>
      <w:lang w:eastAsia="ru-RU"/>
    </w:r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Times New Roman" w:cs="Times New Roman" w:eastAsia="Times New Roman" w:hAnsi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https://www.studentlibrary.ru/book/ISBN9785970470992.html" TargetMode="External"/><Relationship Id="rId6" Type="http://schemas.openxmlformats.org/officeDocument/2006/relationships/hyperlink" Target="https://www.studentlibrary.ru/book/ISBN9785970471005.html" TargetMode="External"/><Relationship Id="rId7" Type="http://schemas.openxmlformats.org/officeDocument/2006/relationships/hyperlink" Target="https://www.studentlibrary.ru/book/ISBN9785970467114.html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</dc:creator>
  <cp:lastModifiedBy>Лариса Викторовна</cp:lastModifiedBy>
</cp:coreProperties>
</file>