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90" w:rsidRPr="007D2F01" w:rsidRDefault="00CA7F90" w:rsidP="00A735DB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D2F01">
        <w:rPr>
          <w:rFonts w:ascii="Times New Roman" w:hAnsi="Times New Roman"/>
          <w:i w:val="0"/>
          <w:sz w:val="24"/>
          <w:szCs w:val="24"/>
        </w:rPr>
        <w:t>Федеральное государственное бюджетное образовательное учреждение</w:t>
      </w:r>
    </w:p>
    <w:p w:rsidR="00CA7F90" w:rsidRPr="007D2F01" w:rsidRDefault="00CA7F90" w:rsidP="00A735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F01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CA7F90" w:rsidRPr="007D2F01" w:rsidRDefault="00CA7F90" w:rsidP="00A735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F01">
        <w:rPr>
          <w:rFonts w:ascii="Times New Roman" w:hAnsi="Times New Roman"/>
          <w:b/>
          <w:sz w:val="24"/>
          <w:szCs w:val="24"/>
        </w:rPr>
        <w:t xml:space="preserve">«КАЗАНСКИЙ ГОСУДАРСТВЕННЫЙ МЕДИЦИНСКИЙ УНИВЕРСИТЕТ» Министерства здравоохранения Российской Федерации </w:t>
      </w:r>
    </w:p>
    <w:p w:rsidR="00CA7F90" w:rsidRPr="007D2F01" w:rsidRDefault="00CA7F90" w:rsidP="00A735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CA7F90" w:rsidRPr="007D2F01" w:rsidRDefault="00CA7F90" w:rsidP="00A735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CA7F90" w:rsidRPr="007D2F01" w:rsidRDefault="00CA7F90" w:rsidP="00A735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D2F01">
        <w:rPr>
          <w:rFonts w:ascii="Times New Roman" w:hAnsi="Times New Roman"/>
          <w:b/>
          <w:sz w:val="24"/>
          <w:szCs w:val="24"/>
        </w:rPr>
        <w:t>Государственная итоговая аттестация выпускников</w:t>
      </w:r>
    </w:p>
    <w:p w:rsidR="00CA7F90" w:rsidRDefault="00CA7F90" w:rsidP="00A735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F01">
        <w:rPr>
          <w:rFonts w:ascii="Times New Roman" w:hAnsi="Times New Roman"/>
          <w:b/>
          <w:sz w:val="24"/>
          <w:szCs w:val="24"/>
        </w:rPr>
        <w:t xml:space="preserve"> по специальности 31.05.01 «Лечебное дело»</w:t>
      </w:r>
    </w:p>
    <w:p w:rsidR="00914838" w:rsidRPr="007D2F01" w:rsidRDefault="00914838" w:rsidP="00A735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Фтизиатрия</w:t>
      </w:r>
    </w:p>
    <w:p w:rsidR="002E78DD" w:rsidRDefault="002E78DD" w:rsidP="00A735DB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2E78DD" w:rsidRDefault="002E78DD" w:rsidP="007D41AD">
      <w:pPr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Билет</w:t>
      </w:r>
    </w:p>
    <w:p w:rsidR="002E78DD" w:rsidRPr="002E78DD" w:rsidRDefault="002E78DD" w:rsidP="002E78D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Работа учреждений общей лечебно-профилактической сети по выявлению и профилактике туберкулеза. Группы лиц с повышенным риском заболевания туберкулезом, методы их обследования и проведения профилактики туберкулеза.</w:t>
      </w:r>
    </w:p>
    <w:p w:rsidR="002E78DD" w:rsidRPr="002E78DD" w:rsidRDefault="002E78DD" w:rsidP="002E78DD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2E78DD" w:rsidRPr="002E78DD" w:rsidRDefault="002E78DD" w:rsidP="002E78D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Организация выявления больных туберкулёзом (выявление при обращении, активное выявление). Понятие о раннем, своевременном и позднем выявлении туберкулеза, оценка эпидемиологической опасности больного. Эпидемиологическое и клиническое значение своевременного выявления больных туберкулезом.</w:t>
      </w:r>
    </w:p>
    <w:p w:rsidR="002E78DD" w:rsidRPr="002E78DD" w:rsidRDefault="002E78DD" w:rsidP="002E78DD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2E78DD" w:rsidRPr="002E78DD" w:rsidRDefault="002E78DD" w:rsidP="00F86FC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Особенности эпидемического процесса при туберкулезе и факторы, определяющие его развитие. </w:t>
      </w:r>
      <w:r w:rsidR="00F86FC4" w:rsidRPr="00F86FC4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Эпидемиологические показатели во фтизиатрии.</w:t>
      </w:r>
      <w:r w:rsidR="00F86FC4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Инфицированность микобактериями туберкулеза, заболеваемость, распространенность, смертность от туберкулеза, их значение в определении эпидемиологической ситуации.</w:t>
      </w:r>
    </w:p>
    <w:p w:rsidR="002E78DD" w:rsidRPr="002E78DD" w:rsidRDefault="002E78DD" w:rsidP="002E78DD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2E78DD" w:rsidRPr="002E78DD" w:rsidRDefault="002E78DD" w:rsidP="002E78D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Микробиологическая диагностика туберкулеза. Особенности микроскопии и посева материала на МБТ. </w:t>
      </w:r>
      <w:proofErr w:type="spellStart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Bactek</w:t>
      </w:r>
      <w:proofErr w:type="spellEnd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. Обнаружение </w:t>
      </w:r>
      <w:proofErr w:type="spellStart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бактериовыделения</w:t>
      </w:r>
      <w:proofErr w:type="spellEnd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методом полимеразной цепной реакции. </w:t>
      </w:r>
    </w:p>
    <w:p w:rsidR="002E78DD" w:rsidRDefault="002E78DD" w:rsidP="002E78DD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2E78DD" w:rsidRPr="002E78DD" w:rsidRDefault="002E78DD" w:rsidP="002E78D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Характеристики противотуберкулезного иммунитета. Вакцинация БЦЖ, БЦЖ-М, техника, показания, противопоказания</w:t>
      </w:r>
    </w:p>
    <w:p w:rsidR="002E78DD" w:rsidRDefault="002E78DD" w:rsidP="002E78DD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2E78DD" w:rsidRPr="002E78DD" w:rsidRDefault="002E78DD" w:rsidP="00A2471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Иммунодиагностика (проба Манту, проба: характеристика препаратов, техника постановки, интерпретация результатов</w:t>
      </w:r>
      <w:proofErr w:type="gramStart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).Иммунодиагностика</w:t>
      </w:r>
      <w:proofErr w:type="gramEnd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(проба с препаратом </w:t>
      </w:r>
      <w:proofErr w:type="spellStart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lastRenderedPageBreak/>
        <w:t>Диаскинтест</w:t>
      </w:r>
      <w:proofErr w:type="spellEnd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: характеристика препаратов, техника постановки, интерпретация результатов)</w:t>
      </w:r>
    </w:p>
    <w:p w:rsidR="002E78DD" w:rsidRPr="002E78DD" w:rsidRDefault="002E78DD" w:rsidP="002E78DD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2E78DD" w:rsidRPr="002E78DD" w:rsidRDefault="002E78DD" w:rsidP="00D823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Острый гематогенно-диссеминированный туберкулез. Патогенез, формы, клинические проявления. Диагностика и дифференциальная диагностика. </w:t>
      </w:r>
      <w:proofErr w:type="spellStart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Лечение.Подострый</w:t>
      </w:r>
      <w:proofErr w:type="spellEnd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и хронический диссеминированный туберкулез – патогенез, особенности течения и клиники. Диагностика, лечение.</w:t>
      </w:r>
    </w:p>
    <w:p w:rsidR="002E78DD" w:rsidRPr="002E78DD" w:rsidRDefault="002E78DD" w:rsidP="002E78DD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2E78DD" w:rsidRPr="002E78DD" w:rsidRDefault="002E78DD" w:rsidP="002E78D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Инфильтративный туберкулез – классификация, клинические формы. Диагностика и дифференциальная диагностика.</w:t>
      </w:r>
      <w:r w:rsidRPr="002E78DD">
        <w:t xml:space="preserve"> </w:t>
      </w:r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Казеозная пневмония, диагностика, лечение и дифференциальная диагностика</w:t>
      </w:r>
    </w:p>
    <w:p w:rsidR="002E78DD" w:rsidRPr="002E78DD" w:rsidRDefault="002E78DD" w:rsidP="002E78DD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2E78DD" w:rsidRDefault="002E78DD" w:rsidP="002E78D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Кавернозный, Фиброзно-кавернозный и </w:t>
      </w:r>
      <w:proofErr w:type="spellStart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цирротический</w:t>
      </w:r>
      <w:proofErr w:type="spellEnd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туберкулез легких – особенности и условия формирования «</w:t>
      </w:r>
      <w:proofErr w:type="spellStart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гиперхронических</w:t>
      </w:r>
      <w:proofErr w:type="spellEnd"/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» деструктивных форм туберкулеза. Клинические проявления, особенности диагностики.</w:t>
      </w:r>
    </w:p>
    <w:p w:rsidR="002E78DD" w:rsidRPr="002E78DD" w:rsidRDefault="002E78DD" w:rsidP="002E78DD">
      <w:pPr>
        <w:pStyle w:val="a3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2E78DD" w:rsidRPr="002E78DD" w:rsidRDefault="002E78DD" w:rsidP="002E78D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E78D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Туберкулезный плеврит, виды, особенности патогенеза и клиники, дифференциальная диагностика. </w:t>
      </w:r>
    </w:p>
    <w:p w:rsidR="002E78DD" w:rsidRPr="002E78DD" w:rsidRDefault="002E78DD" w:rsidP="002E78DD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sectPr w:rsidR="002E78DD" w:rsidRPr="002E78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E6" w:rsidRDefault="00704AE6" w:rsidP="00C266C0">
      <w:pPr>
        <w:spacing w:after="0" w:line="240" w:lineRule="auto"/>
      </w:pPr>
      <w:r>
        <w:separator/>
      </w:r>
    </w:p>
  </w:endnote>
  <w:endnote w:type="continuationSeparator" w:id="0">
    <w:p w:rsidR="00704AE6" w:rsidRDefault="00704AE6" w:rsidP="00C2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074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p w:rsidR="00C266C0" w:rsidRPr="00A735DB" w:rsidRDefault="00C266C0" w:rsidP="00A735DB">
        <w:pPr>
          <w:pStyle w:val="a6"/>
          <w:jc w:val="center"/>
          <w:rPr>
            <w:rFonts w:ascii="Times New Roman" w:hAnsi="Times New Roman"/>
            <w:sz w:val="16"/>
          </w:rPr>
        </w:pPr>
        <w:r w:rsidRPr="00A735DB">
          <w:rPr>
            <w:rFonts w:ascii="Times New Roman" w:hAnsi="Times New Roman"/>
            <w:sz w:val="16"/>
          </w:rPr>
          <w:fldChar w:fldCharType="begin"/>
        </w:r>
        <w:r w:rsidRPr="00A735DB">
          <w:rPr>
            <w:rFonts w:ascii="Times New Roman" w:hAnsi="Times New Roman"/>
            <w:sz w:val="16"/>
          </w:rPr>
          <w:instrText>PAGE   \* MERGEFORMAT</w:instrText>
        </w:r>
        <w:r w:rsidRPr="00A735DB">
          <w:rPr>
            <w:rFonts w:ascii="Times New Roman" w:hAnsi="Times New Roman"/>
            <w:sz w:val="16"/>
          </w:rPr>
          <w:fldChar w:fldCharType="separate"/>
        </w:r>
        <w:r w:rsidR="00914838">
          <w:rPr>
            <w:rFonts w:ascii="Times New Roman" w:hAnsi="Times New Roman"/>
            <w:noProof/>
            <w:sz w:val="16"/>
          </w:rPr>
          <w:t>2</w:t>
        </w:r>
        <w:r w:rsidRPr="00A735DB">
          <w:rPr>
            <w:rFonts w:ascii="Times New Roman" w:hAnsi="Times New Roman"/>
            <w:sz w:val="16"/>
          </w:rPr>
          <w:fldChar w:fldCharType="end"/>
        </w:r>
      </w:p>
    </w:sdtContent>
  </w:sdt>
  <w:p w:rsidR="00C266C0" w:rsidRDefault="00C266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E6" w:rsidRDefault="00704AE6" w:rsidP="00C266C0">
      <w:pPr>
        <w:spacing w:after="0" w:line="240" w:lineRule="auto"/>
      </w:pPr>
      <w:r>
        <w:separator/>
      </w:r>
    </w:p>
  </w:footnote>
  <w:footnote w:type="continuationSeparator" w:id="0">
    <w:p w:rsidR="00704AE6" w:rsidRDefault="00704AE6" w:rsidP="00C2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5CA"/>
    <w:multiLevelType w:val="hybridMultilevel"/>
    <w:tmpl w:val="62A4A72C"/>
    <w:lvl w:ilvl="0" w:tplc="D4AED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026"/>
    <w:multiLevelType w:val="hybridMultilevel"/>
    <w:tmpl w:val="1E363D9C"/>
    <w:lvl w:ilvl="0" w:tplc="D4AED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1AB7"/>
    <w:multiLevelType w:val="hybridMultilevel"/>
    <w:tmpl w:val="62A4A72C"/>
    <w:lvl w:ilvl="0" w:tplc="D4AED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29A"/>
    <w:multiLevelType w:val="hybridMultilevel"/>
    <w:tmpl w:val="827AF0C0"/>
    <w:lvl w:ilvl="0" w:tplc="D4AED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F415D"/>
    <w:multiLevelType w:val="hybridMultilevel"/>
    <w:tmpl w:val="A316F884"/>
    <w:lvl w:ilvl="0" w:tplc="D4AED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06C"/>
    <w:multiLevelType w:val="hybridMultilevel"/>
    <w:tmpl w:val="5DA87FA0"/>
    <w:lvl w:ilvl="0" w:tplc="D4AED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7F14"/>
    <w:multiLevelType w:val="hybridMultilevel"/>
    <w:tmpl w:val="F092D6EC"/>
    <w:lvl w:ilvl="0" w:tplc="D4AED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874C9"/>
    <w:multiLevelType w:val="hybridMultilevel"/>
    <w:tmpl w:val="1DB07058"/>
    <w:lvl w:ilvl="0" w:tplc="D4AED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56B46"/>
    <w:multiLevelType w:val="hybridMultilevel"/>
    <w:tmpl w:val="304C3D6C"/>
    <w:lvl w:ilvl="0" w:tplc="D4AED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35FF"/>
    <w:multiLevelType w:val="hybridMultilevel"/>
    <w:tmpl w:val="761A3D76"/>
    <w:lvl w:ilvl="0" w:tplc="D4AED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C7D08"/>
    <w:multiLevelType w:val="hybridMultilevel"/>
    <w:tmpl w:val="DB40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F5D75"/>
    <w:multiLevelType w:val="hybridMultilevel"/>
    <w:tmpl w:val="1CAA24F6"/>
    <w:lvl w:ilvl="0" w:tplc="D4AED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70A46"/>
    <w:multiLevelType w:val="hybridMultilevel"/>
    <w:tmpl w:val="85B86FD6"/>
    <w:lvl w:ilvl="0" w:tplc="CE4AA8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90"/>
    <w:rsid w:val="002E78DD"/>
    <w:rsid w:val="0040644F"/>
    <w:rsid w:val="00434A8A"/>
    <w:rsid w:val="004D528A"/>
    <w:rsid w:val="005D5291"/>
    <w:rsid w:val="00640823"/>
    <w:rsid w:val="006940C5"/>
    <w:rsid w:val="00704AE6"/>
    <w:rsid w:val="007D41AD"/>
    <w:rsid w:val="00914838"/>
    <w:rsid w:val="009A05B5"/>
    <w:rsid w:val="00A735DB"/>
    <w:rsid w:val="00AE6C69"/>
    <w:rsid w:val="00C266C0"/>
    <w:rsid w:val="00C56A4E"/>
    <w:rsid w:val="00CA7F90"/>
    <w:rsid w:val="00D06739"/>
    <w:rsid w:val="00D55AE2"/>
    <w:rsid w:val="00DC01B1"/>
    <w:rsid w:val="00E16525"/>
    <w:rsid w:val="00E16CC9"/>
    <w:rsid w:val="00F86FC4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65AA"/>
  <w15:chartTrackingRefBased/>
  <w15:docId w15:val="{761B1774-05AA-4292-B6FE-3BE4E2D9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7F9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F9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A7F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6C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2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6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</dc:creator>
  <cp:keywords/>
  <dc:description/>
  <cp:lastModifiedBy>User</cp:lastModifiedBy>
  <cp:revision>3</cp:revision>
  <dcterms:created xsi:type="dcterms:W3CDTF">2025-05-26T07:08:00Z</dcterms:created>
  <dcterms:modified xsi:type="dcterms:W3CDTF">2025-05-26T07:09:00Z</dcterms:modified>
</cp:coreProperties>
</file>