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 xml:space="preserve">Квартальный отчет кафедры Детской хирургии за </w:t>
      </w: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-й квартал 202</w:t>
      </w: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/>
    </w:p>
    <w:tbl>
      <w:tblPr>
        <w:tblpPr w:horzAnchor="margin" w:tblpXSpec="left" w:vertAnchor="page" w:tblpY="2368" w:leftFromText="180" w:topFromText="0" w:rightFromText="180" w:bottomFromText="0"/>
        <w:tblW w:w="1098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>
        <w:trPr/>
        <w:tc>
          <w:tcPr>
            <w:tcW w:w="3408" w:type="dxa"/>
            <w:vMerge w:val="restart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Список изданных трудов сотрудниками кафедры,  за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квартал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все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публикации дублируются в научную библиотеку)</w:t>
            </w:r>
            <w:r>
              <w:rPr>
                <w:sz w:val="18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Статьи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ВАК (со всеми выходными данными по ГОСТ), импакт-фактор журнала, где опубликована статья; цитируемость статьи; ссылка на статью; DOI;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Наш опыт использования ортезов на лучезапястный сустав и предплечье, изготовленных методом 3D-печати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Умаров Н.А., Рябчиков И.В., Нурмеев И.Н., Нурмеев Н.Н., Кадриев А.Г., Осипов А.Ю., Гильмутдинов М.Р.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Уральский медицинский журнал. 2020. № 5 (188). С. 168-171.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color w:val="00008F"/>
                <w:sz w:val="18"/>
              </w:rPr>
            </w:pPr>
            <w:r>
              <w:rPr>
                <w:sz w:val="18"/>
              </w:rPr>
              <w:t xml:space="preserve">DOI: </w:t>
            </w:r>
            <w:hyperlink r:id="rId9" w:tooltip="https://doi.org/10.25694/URMJ.2020.05.34" w:history="1">
              <w:r>
                <w:rPr>
                  <w:rStyle w:val="463"/>
                  <w:color w:val="00008F"/>
                  <w:sz w:val="18"/>
                  <w:u w:val="none"/>
                </w:rPr>
                <w:t xml:space="preserve">10.25694/URMJ.2020.05.34</w:t>
              </w:r>
            </w:hyperlink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Импакт-фактор РИНЦ 2018 -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0,199</w:t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en-US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Статьи 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Scopus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1"/>
              <w:shd w:val="clear" w:fill="FFFFFF" w:color="FFFFFF"/>
              <w:rPr>
                <w:rFonts w:ascii="Times New Roman" w:hAnsi="Times New Roman"/>
                <w:sz w:val="18"/>
                <w:szCs w:val="24"/>
              </w:rPr>
              <w:outlineLvl w:val="4"/>
            </w:pPr>
            <w:r>
              <w:rPr>
                <w:rFonts w:ascii="Times New Roman" w:hAnsi="Times New Roman"/>
                <w:sz w:val="18"/>
                <w:szCs w:val="24"/>
                <w:lang w:val="en-US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Статья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Web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of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ince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WoK (со всеми выходными данными по ГОСТ), импакт-фактор журнала, где опубликована статья; цитируемость статьи; ссылка на статью; DOI;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1"/>
              <w:shd w:val="clear" w:fill="FFFFFF" w:color="FFFFFF"/>
              <w:rPr>
                <w:rFonts w:ascii="Arial" w:hAnsi="Arial" w:cs="Arial"/>
                <w:color w:val="2E2E2E"/>
                <w:sz w:val="18"/>
                <w:szCs w:val="21"/>
              </w:rPr>
              <w:outlineLvl w:val="4"/>
            </w:pPr>
            <w:r>
              <w:rPr>
                <w:rFonts w:ascii="Georgia" w:hAnsi="Georgia"/>
                <w:color w:val="2E2E2E"/>
                <w:sz w:val="18"/>
                <w:szCs w:val="20"/>
                <w:lang w:val="en-US" w:eastAsia="ru-RU"/>
              </w:rPr>
              <w:t xml:space="preserve">Dabigatran etexilate for the treatment of acute venous thromboembolism in children (DIVERSITY): a randomised, controlled, open-label, phase 2b/3, non-inferiority trial</w:t>
            </w:r>
            <w:r>
              <w:rPr>
                <w:rFonts w:ascii="Georgia" w:hAnsi="Georgia"/>
                <w:color w:val="2E2E2E"/>
                <w:sz w:val="18"/>
                <w:szCs w:val="20"/>
                <w:lang w:val="en-US" w:eastAsia="ru-RU"/>
              </w:rPr>
              <w:t xml:space="preserve">. </w:t>
            </w: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Jacqueline Halton 1, Leonardo R Brandão 2, Matteo Luciani 3, Lisa Bomgaars 4, Elizabeth Chalmers 5, Lesley G Mitchell 6, Ildar Nurmeev 7...</w:t>
            </w:r>
            <w:hyperlink r:id="rId10" w:tooltip="https://www.scopus.com/authid/detail.uri?authorId=6507890353" w:history="1">
              <w:r>
                <w:rPr>
                  <w:rFonts w:ascii="Arial" w:hAnsi="Arial" w:cs="Arial"/>
                  <w:color w:val="2E2E2E"/>
                  <w:sz w:val="18"/>
                  <w:szCs w:val="21"/>
                  <w:lang w:val="en-US" w:eastAsia="ru-RU"/>
                </w:rPr>
                <w:t xml:space="preserve">Montes Tapia, F.F.</w:t>
              </w:r>
            </w:hyperlink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, </w:t>
            </w:r>
            <w:hyperlink r:id="rId11" w:tooltip="https://www.scopus.com/authid/detail.uri?authorId=23478501100" w:history="1">
              <w:r>
                <w:rPr>
                  <w:rFonts w:ascii="Arial" w:hAnsi="Arial" w:cs="Arial"/>
                  <w:color w:val="2E2E2E"/>
                  <w:sz w:val="18"/>
                  <w:szCs w:val="21"/>
                  <w:lang w:val="en-US" w:eastAsia="ru-RU"/>
                </w:rPr>
                <w:t xml:space="preserve">Woods-Swafford, W.</w:t>
              </w:r>
            </w:hyperlink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color w:val="2E2E2E"/>
                <w:sz w:val="18"/>
                <w:szCs w:val="21"/>
                <w:lang w:val="en-US" w:eastAsia="ru-RU"/>
              </w:rPr>
              <w:t xml:space="preserve">The Lancet Haematology</w:t>
            </w: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, </w:t>
            </w:r>
            <w:r>
              <w:rPr>
                <w:rFonts w:ascii="Arial" w:hAnsi="Arial" w:cs="Arial"/>
                <w:color w:val="2E2E2E"/>
                <w:sz w:val="18"/>
                <w:szCs w:val="21"/>
                <w:lang w:val="en-US" w:eastAsia="ru-RU"/>
              </w:rPr>
              <w:t xml:space="preserve">2021</w:t>
            </w: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, </w:t>
            </w:r>
            <w:r>
              <w:rPr>
                <w:rFonts w:ascii="Arial" w:hAnsi="Arial" w:cs="Arial"/>
                <w:color w:val="2E2E2E"/>
                <w:sz w:val="18"/>
                <w:szCs w:val="21"/>
                <w:lang w:val="en-US" w:eastAsia="ru-RU"/>
              </w:rPr>
              <w:t xml:space="preserve">8(1)</w:t>
            </w: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, </w:t>
            </w:r>
            <w:r>
              <w:rPr>
                <w:rFonts w:ascii="Arial" w:hAnsi="Arial" w:cs="Arial"/>
                <w:color w:val="2E2E2E"/>
                <w:sz w:val="18"/>
                <w:szCs w:val="21"/>
                <w:lang w:eastAsia="ru-RU"/>
              </w:rPr>
              <w:t xml:space="preserve">стр</w:t>
            </w:r>
            <w:r>
              <w:rPr>
                <w:rFonts w:ascii="Arial" w:hAnsi="Arial" w:cs="Arial"/>
                <w:color w:val="2E2E2E"/>
                <w:sz w:val="18"/>
                <w:szCs w:val="21"/>
                <w:lang w:val="en-US" w:eastAsia="ru-RU"/>
              </w:rPr>
              <w:t xml:space="preserve">. e22–e33</w:t>
            </w:r>
            <w:r>
              <w:rPr>
                <w:sz w:val="18"/>
              </w:rPr>
            </w:r>
          </w:p>
          <w:p>
            <w:pPr>
              <w:ind w:firstLine="0"/>
              <w:jc w:val="left"/>
              <w:spacing w:after="0" w:afterAutospacing="1"/>
              <w:shd w:val="clear" w:fill="FFFFFF" w:color="FFFFFF"/>
              <w:rPr>
                <w:rFonts w:ascii="Arial" w:hAnsi="Arial" w:cs="Arial"/>
                <w:color w:val="323232"/>
                <w:sz w:val="18"/>
                <w:szCs w:val="21"/>
              </w:rPr>
              <w:outlineLvl w:val="4"/>
            </w:pP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PMID: 33290737 </w:t>
            </w:r>
            <w:r>
              <w:rPr>
                <w:sz w:val="18"/>
              </w:rPr>
            </w:r>
          </w:p>
          <w:p>
            <w:pPr>
              <w:ind w:firstLine="0"/>
              <w:jc w:val="left"/>
              <w:spacing w:after="0" w:afterAutospacing="1"/>
              <w:shd w:val="clear" w:fill="FFFFFF" w:color="FFFFFF"/>
              <w:rPr>
                <w:rFonts w:ascii="Arial" w:hAnsi="Arial" w:cs="Arial"/>
                <w:color w:val="323232"/>
                <w:sz w:val="18"/>
                <w:szCs w:val="21"/>
              </w:rPr>
              <w:outlineLvl w:val="4"/>
            </w:pPr>
            <w:r>
              <w:rPr>
                <w:rFonts w:ascii="Arial" w:hAnsi="Arial" w:cs="Arial"/>
                <w:color w:val="323232"/>
                <w:sz w:val="18"/>
                <w:szCs w:val="21"/>
                <w:lang w:val="en-US" w:eastAsia="ru-RU"/>
              </w:rPr>
              <w:t xml:space="preserve">DOI: </w:t>
            </w:r>
            <w:hyperlink r:id="rId12" w:tooltip="https://doi.org/10.1016/s2352-3026(20)30368-9" w:history="1">
              <w:r>
                <w:rPr>
                  <w:rStyle w:val="463"/>
                  <w:rFonts w:ascii="Arial" w:hAnsi="Arial" w:cs="Arial"/>
                  <w:sz w:val="18"/>
                  <w:szCs w:val="21"/>
                  <w:lang w:val="en-US" w:eastAsia="ru-RU"/>
                </w:rPr>
                <w:t xml:space="preserve">10.1016/S2352-3026(20)30368-9</w:t>
              </w:r>
            </w:hyperlink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firstLine="0"/>
              <w:jc w:val="left"/>
              <w:spacing w:after="0" w:afterAutospacing="1"/>
              <w:shd w:val="clear" w:fill="FFFFFF" w:color="FFFFFF"/>
              <w:rPr>
                <w:sz w:val="18"/>
              </w:rPr>
              <w:outlineLvl w:val="4"/>
            </w:pPr>
            <w:r>
              <w:rPr>
                <w:sz w:val="18"/>
              </w:rPr>
            </w:r>
            <w:hyperlink r:id="rId13" w:tooltip="https://pubmed.ncbi.nlm.nih.gov/33290737/" w:history="1">
              <w:r>
                <w:rPr>
                  <w:rStyle w:val="463"/>
                  <w:sz w:val="18"/>
                  <w:lang w:val="en-US"/>
                </w:rPr>
                <w:t xml:space="preserve">Dabigatran etexilate for the treatment of acute venous thromboembolism in children (DIVERSITY): a randomised, controlled, open-label, phase 2b/3, non-inferiority trial - PubMed (nih.gov)</w:t>
              </w:r>
            </w:hyperlink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sz w:val="18"/>
              </w:rPr>
            </w:r>
            <w:bookmarkStart w:id="0" w:name="_GoBack"/>
            <w:r>
              <w:rPr>
                <w:sz w:val="18"/>
              </w:rPr>
            </w:r>
            <w:bookmarkEnd w:id="0"/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Изданные монографии (с выходными данными по ГОСТ)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,всех авторов, название монографии полное, без сокращений, год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выпуска, тираж, объем, УПЛ, количество страниц, издательство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Тезисы конференций, с указанием статуса конференции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pStyle w:val="470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Два нестандартных случая лечения пациентов подросткового возраста с нефробластомой «Сборник материалов I объединенного Конгресса НОДГО и РОДО»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«Актуальные проблемы и перспективы развития детской гематологии-онкологии в Российской Федерации» 23–25 ноября 2020 г.  С.64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Профессор Морозов В.И. Доклад на Обществе хирургов Р.Т.  25.03.21,, Осложненной аппендицит у детей''.</w:t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Участие в конференции (с указанием статуса, названия, города, в качестве  кого принимали участие, количество участников)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квартал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pStyle w:val="47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Мастер-класс по хирургической коррекции врожденных заболеваний мочеполовой системы у детей с 06.01.2021 по 18.01.2021 на базе Юнусабадского медицинского центра г Ташкент, Узбекистан. Профессор Акрамов Н.Р.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Мультидисциплинарная бригада Областной детской клинической больницы (ОДКБ)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(Свердловская область)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провела совместную операцию ребенку грудного возраста с врожденным пороком развития мочеполовых органов. Для проведения столь сложного хирургического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вмешательства в больницу приехал профессор кафедры детской хирургии Казанского медицинского университета (Казань), главный научный сотрудник научно-исследовательского отдела Республиканской клинической больницы Минздрава Республики Татарстан Наиль Акрамов.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2"/>
              </w:numPr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Неотложная детская хирургия и травматология. Всероссийская научно-практическая конференция. Доклад: Видео-эндоскопический метод лечения лимфатической мальформации у новорожденного ребенка. Нурмеев И.Н. 18.02.2021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Проведенные конференции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(силами кафедры)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4"/>
                <w:u w:val="single"/>
              </w:rPr>
              <w:t xml:space="preserve">с предоставлением программы и отчета конференции</w:t>
            </w:r>
            <w:r>
              <w:rPr>
                <w:rFonts w:ascii="Times New Roman" w:hAnsi="Times New Roman"/>
                <w:b/>
                <w:i/>
                <w:sz w:val="18"/>
                <w:szCs w:val="24"/>
                <w:u w:val="single"/>
              </w:rPr>
              <w:t xml:space="preserve"> и сборник тезисов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за I квартал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u w:val="single"/>
              </w:rPr>
              <w:t xml:space="preserve">(</w:t>
            </w:r>
            <w:r>
              <w:rPr>
                <w:rFonts w:ascii="Times New Roman" w:hAnsi="Times New Roman"/>
                <w:b/>
                <w:sz w:val="18"/>
                <w:szCs w:val="24"/>
                <w:u w:val="single"/>
              </w:rPr>
              <w:t xml:space="preserve">программы конференций</w:t>
            </w:r>
            <w:r>
              <w:rPr>
                <w:rFonts w:ascii="Times New Roman" w:hAnsi="Times New Roman"/>
                <w:b/>
                <w:sz w:val="18"/>
                <w:szCs w:val="24"/>
                <w:u w:val="single"/>
              </w:rPr>
              <w:t xml:space="preserve"> и сборники</w:t>
            </w:r>
            <w:r>
              <w:rPr>
                <w:rFonts w:ascii="Times New Roman" w:hAnsi="Times New Roman"/>
                <w:b/>
                <w:sz w:val="18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С ФОТО- и ВИДЕОТЧЕТОМ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sz w:val="18"/>
              </w:rPr>
            </w:r>
          </w:p>
        </w:tc>
      </w:tr>
      <w:tr>
        <w:trPr>
          <w:trHeight w:val="445"/>
        </w:trPr>
        <w:tc>
          <w:tcPr>
            <w:tcW w:w="3408" w:type="dxa"/>
            <w:vMerge w:val="restart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Список защитившихся за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квартал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b/>
                <w:i/>
                <w:sz w:val="18"/>
                <w:szCs w:val="24"/>
                <w:u w:val="single"/>
              </w:rPr>
              <w:t xml:space="preserve">с </w:t>
            </w:r>
            <w:r>
              <w:rPr>
                <w:rFonts w:ascii="Times New Roman" w:hAnsi="Times New Roman"/>
                <w:b/>
                <w:i/>
                <w:sz w:val="18"/>
                <w:szCs w:val="24"/>
                <w:u w:val="single"/>
              </w:rPr>
              <w:t xml:space="preserve">предоставлением автореферата (оригинала)</w:t>
            </w:r>
            <w:r>
              <w:rPr>
                <w:sz w:val="18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кандидатские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tcW w:w="3408" w:type="dxa"/>
            <w:vMerge w:val="continue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6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докторские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Гранты с указанием № гранта, инвестор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а, названия гранта, руководителя, исполнителя(ей)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сумма гранта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№ РК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с указанием ссылки на указ, постановление и тд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)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Заявки на грант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заявки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инвестор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а, названия гранта, руководителя, исполнителя(ей)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сумма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подаваемой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заявки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за 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квартал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Межкластерное взаимодействие (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участие в конференциях, проведение совместных научно-практических  мероприятий,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научная работа, гранты, и тд) в кластер входят ИжГМА,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ПИМУ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, КирГМА, ПермГМУ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. Ульяновский ГУ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, КГМА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за </w:t>
            </w:r>
            <w:r>
              <w:rPr>
                <w:rFonts w:ascii="Times New Roman" w:hAnsi="Times New Roman"/>
                <w:bCs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кв. 2021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г.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Другие награды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(заслуженный деятель, какие либо медали)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достижения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, победители конкурсов, олимпиад (различного уровня)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и другие достижения, награды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кафедры (сотрудников кафедр)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 за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2021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года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Заключенные договора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/соглашения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кв. 202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а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(с предоставлением копии договора в электронном и бумажном вариантах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с подписями и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печатями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)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Профессор Акрамов Н.Р. Договор о сотрудничестве между КГМУ (г.Казань) с Национальным детским медицинским центром Республики Узбекистан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(г. Ташкент, Республика Узбекистан).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Профессор Акрамов Н.Р. Договор о сотрудничестве между КГМУ (г.Казань) с Частной клиникой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Yunusobod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Medical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val="en-US"/>
              </w:rPr>
              <w:t xml:space="preserve">center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(г. Ташкент, Республика Узбекистан).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за </w:t>
            </w:r>
            <w:r>
              <w:rPr>
                <w:rFonts w:ascii="Times New Roman" w:hAnsi="Times New Roman"/>
                <w:bCs/>
                <w:sz w:val="18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кв. 2021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Участвуют сотрудники Вашей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в ред коллегии, консультативные советы журналов (в каких и до какого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срока), статус журнала указать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Миролюбов Л.М.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 член ред. коллегии журналов: 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«Детские болезни сердца и сосудов» (ВАК), 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«Российский вестник детской хирургии, анестезиологии и реаниматологии» (ВАК).</w:t>
            </w:r>
            <w:r>
              <w:rPr>
                <w:sz w:val="18"/>
              </w:rPr>
            </w:r>
          </w:p>
          <w:p>
            <w:pPr>
              <w:pStyle w:val="470"/>
              <w:ind w:left="0" w:firstLine="0"/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</w:r>
            <w:r>
              <w:rPr>
                <w:sz w:val="18"/>
              </w:rPr>
            </w:r>
          </w:p>
          <w:p>
            <w:pPr>
              <w:pStyle w:val="470"/>
              <w:ind w:left="0" w:firstLine="0"/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Нурмеев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. - associated editor 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при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журнале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 </w:t>
            </w:r>
            <w:r>
              <w:rPr>
                <w:sz w:val="18"/>
              </w:rPr>
            </w:r>
          </w:p>
          <w:p>
            <w:pPr>
              <w:pStyle w:val="47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"International Journal of pregnancy and child birth".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MEDICAL &amp; PHARMACEUTICAL JOURNAL " PULSE" / "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МЕДИКО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ФАРМАЦЕВТИЧЕСКИЙ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ЖУРНАЛ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ПУЛЬС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lang w:val="en-US"/>
              </w:rPr>
              <w:t xml:space="preserve">.</w:t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Сотрудники кафедры, состоящие в руководящих и консультативных органах международных научных обществ и объединений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Нурмеев И.Н. - с 2017 года Эксперт комиссии по Грантам для молодых ученых при Президенте РФ.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  <w:r>
              <w:rPr>
                <w:sz w:val="18"/>
              </w:rPr>
            </w:r>
          </w:p>
        </w:tc>
      </w:tr>
      <w:tr>
        <w:trPr/>
        <w:tc>
          <w:tcPr>
            <w:gridSpan w:val="2"/>
            <w:tcW w:w="6048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bCs/>
                <w:sz w:val="18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24"/>
              </w:rPr>
              <w:t xml:space="preserve"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  <w:r>
              <w:rPr>
                <w:sz w:val="18"/>
              </w:rPr>
            </w:r>
          </w:p>
        </w:tc>
        <w:tc>
          <w:tcPr>
            <w:tcW w:w="4940" w:type="dxa"/>
            <w:textDirection w:val="lrTb"/>
            <w:noWrap w:val="false"/>
          </w:tcPr>
          <w:p>
            <w:pPr>
              <w:ind w:firstLine="0"/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Акрамов Н.Р. – Д 208.006.02, 14.01.19 – Детская хирургия (медицинские науки), Башкирский ГМУ, Уфа, член диссертационного Совета.</w:t>
            </w:r>
            <w:r>
              <w:rPr>
                <w:sz w:val="18"/>
              </w:rPr>
            </w:r>
          </w:p>
          <w:p>
            <w:pPr>
              <w:ind w:firstLine="0"/>
              <w:spacing w:after="0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Нурмеев ИН, член диссертационного Совета КФУ, Казань.14.01. № 01-03/676 от 14.06.2019 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с 1 сентября 2019 года сроком на 5 лет. Совет по защите в области мндицинский наук 14.01.12 - Онкология (медицинские науки), 14.01.14 - Стоматология (медицинские науки), 14.01.17 - Хирургия (медицинские науки).</w:t>
            </w:r>
            <w:r>
              <w:rPr>
                <w:sz w:val="18"/>
              </w:rPr>
            </w:r>
          </w:p>
        </w:tc>
      </w:tr>
    </w:tbl>
    <w:p>
      <w:pPr>
        <w:ind w:firstLine="708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</w:r>
      <w:r>
        <w:rPr>
          <w:sz w:val="18"/>
        </w:rPr>
      </w:r>
    </w:p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Заведующий кафедрой детской хирургии</w:t>
      </w:r>
      <w:r>
        <w:rPr>
          <w:sz w:val="20"/>
        </w:rPr>
      </w:r>
    </w:p>
    <w:p>
      <w:pPr>
        <w:ind w:firstLine="708"/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Профессор, д.м.н.</w:t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sz w:val="20"/>
          <w:szCs w:val="24"/>
        </w:rPr>
        <w:tab/>
        <w:t xml:space="preserve">Л.М. Миролюбов</w:t>
      </w:r>
      <w:r>
        <w:rPr>
          <w:sz w:val="20"/>
        </w:rPr>
      </w:r>
    </w:p>
    <w:p>
      <w:pPr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/>
    </w:p>
    <w:p>
      <w:pPr>
        <w:ind w:firstLine="708"/>
      </w:pPr>
      <w:r/>
      <w:r/>
    </w:p>
    <w:sectPr>
      <w:footnotePr/>
      <w:endnotePr/>
      <w:type w:val="nextPage"/>
      <w:pgSz w:w="11906" w:h="16838" w:orient="portrait"/>
      <w:pgMar w:top="567" w:right="567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60603050605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57"/>
    <w:next w:val="45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5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57"/>
    <w:next w:val="45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5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57"/>
    <w:next w:val="45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5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57"/>
    <w:next w:val="45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59"/>
    <w:link w:val="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59"/>
    <w:link w:val="458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57"/>
    <w:next w:val="45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5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57"/>
    <w:next w:val="45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5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57"/>
    <w:next w:val="45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5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57"/>
    <w:next w:val="45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5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57"/>
    <w:next w:val="45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59"/>
    <w:link w:val="32"/>
    <w:uiPriority w:val="10"/>
    <w:rPr>
      <w:sz w:val="48"/>
      <w:szCs w:val="48"/>
    </w:rPr>
  </w:style>
  <w:style w:type="paragraph" w:styleId="34">
    <w:name w:val="Subtitle"/>
    <w:basedOn w:val="457"/>
    <w:next w:val="45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59"/>
    <w:link w:val="34"/>
    <w:uiPriority w:val="11"/>
    <w:rPr>
      <w:sz w:val="24"/>
      <w:szCs w:val="24"/>
    </w:rPr>
  </w:style>
  <w:style w:type="paragraph" w:styleId="36">
    <w:name w:val="Quote"/>
    <w:basedOn w:val="457"/>
    <w:next w:val="45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57"/>
    <w:next w:val="45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5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59"/>
    <w:link w:val="40"/>
    <w:uiPriority w:val="99"/>
  </w:style>
  <w:style w:type="paragraph" w:styleId="42">
    <w:name w:val="Footer"/>
    <w:basedOn w:val="45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59"/>
    <w:link w:val="42"/>
    <w:uiPriority w:val="99"/>
  </w:style>
  <w:style w:type="paragraph" w:styleId="44">
    <w:name w:val="Caption"/>
    <w:basedOn w:val="457"/>
    <w:next w:val="45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5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59"/>
    <w:uiPriority w:val="99"/>
    <w:unhideWhenUsed/>
    <w:rPr>
      <w:vertAlign w:val="superscript"/>
    </w:rPr>
  </w:style>
  <w:style w:type="character" w:styleId="177">
    <w:name w:val="Endnote Text Char"/>
    <w:link w:val="465"/>
    <w:uiPriority w:val="99"/>
    <w:rPr>
      <w:sz w:val="20"/>
    </w:rPr>
  </w:style>
  <w:style w:type="paragraph" w:styleId="179">
    <w:name w:val="toc 1"/>
    <w:basedOn w:val="457"/>
    <w:next w:val="45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57"/>
    <w:next w:val="45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57"/>
    <w:next w:val="45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57"/>
    <w:next w:val="45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57"/>
    <w:next w:val="45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57"/>
    <w:next w:val="45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57"/>
    <w:next w:val="45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57"/>
    <w:next w:val="45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57"/>
    <w:next w:val="45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57" w:default="1">
    <w:name w:val="Normal"/>
    <w:qFormat/>
    <w:rPr>
      <w:rFonts w:eastAsia="Times New Roman"/>
      <w:sz w:val="22"/>
      <w:szCs w:val="22"/>
      <w:lang w:eastAsia="en-US"/>
    </w:rPr>
    <w:pPr>
      <w:ind w:firstLine="709"/>
      <w:jc w:val="both"/>
      <w:spacing w:after="120"/>
    </w:pPr>
  </w:style>
  <w:style w:type="paragraph" w:styleId="458">
    <w:name w:val="Heading 5"/>
    <w:basedOn w:val="457"/>
    <w:link w:val="471"/>
    <w:qFormat/>
    <w:uiPriority w:val="9"/>
    <w:rPr>
      <w:rFonts w:ascii="Times New Roman" w:hAnsi="Times New Roman"/>
      <w:b/>
      <w:bCs/>
      <w:sz w:val="20"/>
      <w:szCs w:val="20"/>
      <w:lang w:eastAsia="ru-RU"/>
    </w:rPr>
    <w:pPr>
      <w:ind w:firstLine="0"/>
      <w:jc w:val="left"/>
      <w:spacing w:after="100" w:afterAutospacing="1" w:before="100" w:beforeAutospacing="1"/>
      <w:outlineLvl w:val="4"/>
    </w:pPr>
  </w:style>
  <w:style w:type="character" w:styleId="459" w:default="1">
    <w:name w:val="Default Paragraph Font"/>
    <w:uiPriority w:val="1"/>
    <w:semiHidden/>
    <w:unhideWhenUsed/>
  </w:style>
  <w:style w:type="table" w:styleId="4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1" w:default="1">
    <w:name w:val="No List"/>
    <w:uiPriority w:val="99"/>
    <w:semiHidden/>
    <w:unhideWhenUsed/>
  </w:style>
  <w:style w:type="table" w:styleId="462">
    <w:name w:val="Table Grid"/>
    <w:basedOn w:val="460"/>
    <w:rPr>
      <w:rFonts w:eastAsia="Times New Roman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463">
    <w:name w:val="Hyperlink"/>
    <w:rPr>
      <w:rFonts w:cs="Times New Roman"/>
      <w:color w:val="0000FF"/>
      <w:u w:val="single"/>
    </w:rPr>
  </w:style>
  <w:style w:type="character" w:styleId="464" w:customStyle="1">
    <w:name w:val="x-ph__menu__button x-ph__menu__button_auth"/>
    <w:basedOn w:val="459"/>
  </w:style>
  <w:style w:type="paragraph" w:styleId="465">
    <w:name w:val="endnote text"/>
    <w:basedOn w:val="457"/>
    <w:link w:val="466"/>
    <w:rPr>
      <w:sz w:val="20"/>
      <w:szCs w:val="20"/>
    </w:rPr>
  </w:style>
  <w:style w:type="character" w:styleId="466" w:customStyle="1">
    <w:name w:val="Текст концевой сноски Знак"/>
    <w:link w:val="465"/>
    <w:rPr>
      <w:rFonts w:eastAsia="Times New Roman"/>
      <w:lang w:eastAsia="en-US"/>
    </w:rPr>
  </w:style>
  <w:style w:type="character" w:styleId="467">
    <w:name w:val="endnote reference"/>
    <w:rPr>
      <w:vertAlign w:val="superscript"/>
    </w:rPr>
  </w:style>
  <w:style w:type="paragraph" w:styleId="468">
    <w:name w:val="Balloon Text"/>
    <w:basedOn w:val="457"/>
    <w:link w:val="469"/>
    <w:rPr>
      <w:rFonts w:ascii="Segoe UI" w:hAnsi="Segoe UI" w:cs="Segoe UI"/>
      <w:sz w:val="18"/>
      <w:szCs w:val="18"/>
    </w:rPr>
    <w:pPr>
      <w:spacing w:after="0"/>
    </w:pPr>
  </w:style>
  <w:style w:type="character" w:styleId="469" w:customStyle="1">
    <w:name w:val="Текст выноски Знак"/>
    <w:basedOn w:val="459"/>
    <w:link w:val="468"/>
    <w:rPr>
      <w:rFonts w:ascii="Segoe UI" w:hAnsi="Segoe UI" w:cs="Segoe UI" w:eastAsia="Times New Roman"/>
      <w:sz w:val="18"/>
      <w:szCs w:val="18"/>
      <w:lang w:eastAsia="en-US"/>
    </w:rPr>
  </w:style>
  <w:style w:type="paragraph" w:styleId="470">
    <w:name w:val="List Paragraph"/>
    <w:basedOn w:val="457"/>
    <w:qFormat/>
    <w:uiPriority w:val="34"/>
    <w:pPr>
      <w:contextualSpacing w:val="true"/>
      <w:ind w:left="720"/>
    </w:pPr>
  </w:style>
  <w:style w:type="character" w:styleId="471" w:customStyle="1">
    <w:name w:val="Заголовок 5 Знак"/>
    <w:basedOn w:val="459"/>
    <w:link w:val="458"/>
    <w:uiPriority w:val="9"/>
    <w:rPr>
      <w:rFonts w:ascii="Times New Roman" w:hAnsi="Times New Roman" w:eastAsia="Times New Roman"/>
      <w:b/>
      <w:bCs/>
    </w:rPr>
  </w:style>
  <w:style w:type="character" w:styleId="472" w:customStyle="1">
    <w:name w:val="link__text"/>
    <w:basedOn w:val="459"/>
  </w:style>
  <w:style w:type="character" w:styleId="473" w:customStyle="1">
    <w:name w:val="text-meta"/>
    <w:basedOn w:val="4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i.org/10.25694/URMJ.2020.05.34" TargetMode="External"/><Relationship Id="rId10" Type="http://schemas.openxmlformats.org/officeDocument/2006/relationships/hyperlink" Target="https://www.scopus.com/authid/detail.uri?authorId=6507890353" TargetMode="External"/><Relationship Id="rId11" Type="http://schemas.openxmlformats.org/officeDocument/2006/relationships/hyperlink" Target="https://www.scopus.com/authid/detail.uri?authorId=23478501100" TargetMode="External"/><Relationship Id="rId12" Type="http://schemas.openxmlformats.org/officeDocument/2006/relationships/hyperlink" Target="https://doi.org/10.1016/s2352-3026(20)30368-9" TargetMode="External"/><Relationship Id="rId13" Type="http://schemas.openxmlformats.org/officeDocument/2006/relationships/hyperlink" Target="https://pubmed.ncbi.nlm.nih.gov/3329073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R7-Office/6.1.0.54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pedsurg@kazangmu.ru</cp:lastModifiedBy>
  <cp:revision>11</cp:revision>
  <dcterms:created xsi:type="dcterms:W3CDTF">2021-03-18T19:21:00Z</dcterms:created>
  <dcterms:modified xsi:type="dcterms:W3CDTF">2021-03-22T05:39:34Z</dcterms:modified>
</cp:coreProperties>
</file>