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right"/>
        <w:rPr>
          <w:rFonts w:ascii="Times New Roman" w:hAnsi="Times New Roman"/>
          <w:b w:val="1"/>
          <w:bCs w:val="1"/>
        </w:rPr>
      </w:pP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Уважаемые коллеги</w:t>
      </w:r>
      <w:r>
        <w:rPr>
          <w:rFonts w:ascii="Times New Roman" w:hAnsi="Times New Roman"/>
          <w:b w:val="1"/>
          <w:bCs w:val="1"/>
          <w:rtl w:val="0"/>
          <w:lang w:val="ru-RU"/>
        </w:rPr>
        <w:t>!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center"/>
      </w:pPr>
    </w:p>
    <w:p>
      <w:pPr>
        <w:pStyle w:val="По умолчанию"/>
        <w:spacing w:before="100" w:after="100" w:line="240" w:lineRule="auto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С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1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 по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28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марта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2025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 в Казани состоится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XII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 Нейрофорум «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NeuroWeek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-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Kazan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 2026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» «Неделя Нейронаук в Казани» 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значим</w:t>
      </w:r>
      <w:r>
        <w:rPr>
          <w:rFonts w:ascii="Times New Roman" w:hAnsi="Times New Roman" w:hint="default"/>
          <w:u w:color="000000"/>
          <w:rtl w:val="0"/>
          <w:lang w:val="ru-RU"/>
        </w:rPr>
        <w:t>ое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научно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практическ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ое </w:t>
      </w:r>
      <w:r>
        <w:rPr>
          <w:rFonts w:ascii="Times New Roman" w:hAnsi="Times New Roman" w:hint="default"/>
          <w:u w:color="000000"/>
          <w:rtl w:val="0"/>
          <w:lang w:val="ru-RU"/>
        </w:rPr>
        <w:t>мероприяти</w:t>
      </w:r>
      <w:r>
        <w:rPr>
          <w:rFonts w:ascii="Times New Roman" w:hAnsi="Times New Roman" w:hint="default"/>
          <w:u w:color="000000"/>
          <w:rtl w:val="0"/>
          <w:lang w:val="ru-RU"/>
        </w:rPr>
        <w:t>е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в области нейронаук в РФ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spacing w:before="100" w:after="10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    Одна из основных идей проекта</w:t>
      </w: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>объединение ученых и практических специалистов в области нейронаук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смежных сфер клинической медицины различных поколений </w:t>
      </w: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>от молодых ученых и врачей до маститых специалистов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представителей ведущих научных школ России и СНГ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 также укрепление традиций Казанской научной школы заложенных  выдающимся ученым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В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М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Бехтеревым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spacing w:before="100" w:after="100" w:line="240" w:lineRule="auto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   </w:t>
      </w:r>
      <w:r>
        <w:rPr>
          <w:rFonts w:ascii="Times New Roman" w:hAnsi="Times New Roman" w:hint="default"/>
          <w:u w:color="000000"/>
          <w:rtl w:val="0"/>
          <w:lang w:val="ru-RU"/>
        </w:rPr>
        <w:t>Под  эгидой Нейрофорума  будет проведен целый комплекс научно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практических мероприятий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Колонтитулы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XII</w:t>
      </w:r>
      <w:r>
        <w:rPr>
          <w:rFonts w:ascii="Times New Roman" w:hAnsi="Times New Roman" w:hint="default"/>
          <w:rtl w:val="0"/>
          <w:lang w:val="ru-RU"/>
        </w:rPr>
        <w:t xml:space="preserve"> Всероссийская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 международным участием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научно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практическая конференция «Бехтеревские чтения</w:t>
      </w:r>
      <w:r>
        <w:rPr>
          <w:rFonts w:ascii="Times New Roman" w:hAnsi="Times New Roman"/>
          <w:rtl w:val="0"/>
          <w:lang w:val="ru-RU"/>
        </w:rPr>
        <w:t>-202</w:t>
      </w:r>
      <w:r>
        <w:rPr>
          <w:rFonts w:ascii="Times New Roman" w:hAnsi="Times New Roman"/>
          <w:rtl w:val="0"/>
          <w:lang w:val="en-US"/>
        </w:rPr>
        <w:t>6</w:t>
      </w:r>
      <w:r>
        <w:rPr>
          <w:rFonts w:ascii="Times New Roman" w:hAnsi="Times New Roman" w:hint="default"/>
          <w:rtl w:val="0"/>
          <w:lang w:val="ru-RU"/>
        </w:rPr>
        <w:t>» с участием ведущих неврологов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нейрореабилитологов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кардиологов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ревматологов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психиатров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психологов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музыкотерапевтов РФ и СНГ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Колонтитулы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X </w:t>
      </w:r>
      <w:r>
        <w:rPr>
          <w:rFonts w:ascii="Times New Roman" w:hAnsi="Times New Roman" w:hint="default"/>
          <w:rtl w:val="0"/>
          <w:lang w:val="ru-RU"/>
        </w:rPr>
        <w:t xml:space="preserve">Всероссийская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 международным участием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Научная конференция молодых ученых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«Будущее Нейронаук» </w:t>
      </w:r>
    </w:p>
    <w:p>
      <w:pPr>
        <w:pStyle w:val="Колонтитулы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VII</w:t>
      </w:r>
      <w:r>
        <w:rPr>
          <w:rFonts w:ascii="Times New Roman" w:hAnsi="Times New Roman" w:hint="default"/>
          <w:rtl w:val="0"/>
          <w:lang w:val="ru-RU"/>
        </w:rPr>
        <w:t xml:space="preserve"> Всероссийская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  международным участием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Олимпиада студентов по неврологии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Предварительная программа Нейрофорума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«Неделя Нейронаук в Казани»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21-22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марта Образовательная Школа «Врач нового поколения </w:t>
      </w:r>
      <w:r>
        <w:rPr>
          <w:rFonts w:ascii="Times New Roman" w:hAnsi="Times New Roman"/>
          <w:b w:val="1"/>
          <w:bCs w:val="1"/>
          <w:rtl w:val="0"/>
          <w:lang w:val="ru-RU"/>
        </w:rPr>
        <w:t>2.0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23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марта 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X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Всероссийская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 международным участием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Научная конференция молодых ученых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«Будущее Нейронаук»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   Приглашаются молодые ученые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врачи в возрасте до </w:t>
      </w:r>
      <w:r>
        <w:rPr>
          <w:rFonts w:ascii="Times New Roman" w:hAnsi="Times New Roman"/>
          <w:rtl w:val="0"/>
          <w:lang w:val="ru-RU"/>
        </w:rPr>
        <w:t xml:space="preserve">35 </w:t>
      </w:r>
      <w:r>
        <w:rPr>
          <w:rFonts w:ascii="Times New Roman" w:hAnsi="Times New Roman" w:hint="default"/>
          <w:rtl w:val="0"/>
          <w:lang w:val="ru-RU"/>
        </w:rPr>
        <w:t xml:space="preserve">лет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включительно</w:t>
      </w:r>
      <w:r>
        <w:rPr>
          <w:rFonts w:ascii="Times New Roman" w:hAnsi="Times New Roman"/>
          <w:rtl w:val="0"/>
          <w:lang w:val="ru-RU"/>
        </w:rPr>
        <w:t xml:space="preserve">).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Участие в конференции может проходить в виде устного выступления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стендового доклада в формате очных сессий по следующим направлениям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Колонтитулы A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 A"/>
          <w:rFonts w:ascii="Times New Roman" w:hAnsi="Times New Roman" w:hint="default"/>
          <w:rtl w:val="0"/>
          <w:lang w:val="ru-RU"/>
        </w:rPr>
        <w:t>Фундаментальные исследования в неврологии и психиатрии</w:t>
      </w:r>
    </w:p>
    <w:p>
      <w:pPr>
        <w:pStyle w:val="Колонтитулы A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 A"/>
          <w:rFonts w:ascii="Times New Roman" w:hAnsi="Times New Roman" w:hint="default"/>
          <w:rtl w:val="0"/>
          <w:lang w:val="ru-RU"/>
        </w:rPr>
        <w:t>Клиническая неврология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3)  </w:t>
      </w:r>
      <w:r>
        <w:rPr>
          <w:rFonts w:ascii="Times New Roman" w:hAnsi="Times New Roman" w:hint="default"/>
          <w:rtl w:val="0"/>
          <w:lang w:val="ru-RU"/>
        </w:rPr>
        <w:t>Клиническая психиатрия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Лучшие доклады будут отмечены денежными премиями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Торжественное награждение победителей конференции будет проводиться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24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марта </w:t>
      </w:r>
      <w:r>
        <w:rPr>
          <w:rFonts w:ascii="Times New Roman" w:hAnsi="Times New Roman" w:hint="default"/>
          <w:rtl w:val="0"/>
          <w:lang w:val="ru-RU"/>
        </w:rPr>
        <w:t>на Первом пленарном заседании конференции «Бехтеревские чтения</w:t>
      </w:r>
      <w:r>
        <w:rPr>
          <w:rFonts w:ascii="Times New Roman" w:hAnsi="Times New Roman"/>
          <w:rtl w:val="0"/>
          <w:lang w:val="ru-RU"/>
        </w:rPr>
        <w:t>-202</w:t>
      </w:r>
      <w:r>
        <w:rPr>
          <w:rFonts w:ascii="Times New Roman" w:hAnsi="Times New Roman"/>
          <w:rtl w:val="0"/>
          <w:lang w:val="en-US"/>
        </w:rPr>
        <w:t>6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24-26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марта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- </w:t>
      </w:r>
      <w:r>
        <w:rPr>
          <w:rFonts w:ascii="Times New Roman" w:hAnsi="Times New Roman"/>
          <w:b w:val="1"/>
          <w:bCs w:val="1"/>
          <w:rtl w:val="0"/>
          <w:lang w:val="en-US"/>
        </w:rPr>
        <w:t>XII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Всероссийская с международным участием научно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практическая конференция «Бехтеревские чтения</w:t>
      </w:r>
      <w:r>
        <w:rPr>
          <w:rFonts w:ascii="Times New Roman" w:hAnsi="Times New Roman"/>
          <w:b w:val="1"/>
          <w:bCs w:val="1"/>
          <w:rtl w:val="0"/>
          <w:lang w:val="ru-RU"/>
        </w:rPr>
        <w:t>-202</w:t>
      </w:r>
      <w:r>
        <w:rPr>
          <w:rFonts w:ascii="Times New Roman" w:hAnsi="Times New Roman"/>
          <w:b w:val="1"/>
          <w:bCs w:val="1"/>
          <w:rtl w:val="0"/>
          <w:lang w:val="en-US"/>
        </w:rPr>
        <w:t>6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рамках которой запланированы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24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марта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Пленарное заседание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симпозиумы и секции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Всероссийская конференция «Психиатрия в меняющемся мире»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Всероссийская конференция</w:t>
      </w:r>
      <w:r>
        <w:rPr>
          <w:rFonts w:ascii="Times New Roman" w:hAnsi="Times New Roman" w:hint="default"/>
          <w:b w:val="1"/>
          <w:bCs w:val="1"/>
          <w:outline w:val="0"/>
          <w:color w:val="535353"/>
          <w:u w:color="ff0000"/>
          <w:rtl w:val="0"/>
          <w:lang w:val="ru-RU"/>
          <w14:textFill>
            <w14:solidFill>
              <w14:srgbClr w14:val="535353"/>
            </w14:solidFill>
          </w14:textFill>
        </w:rPr>
        <w:t>«</w:t>
      </w:r>
      <w:r>
        <w:rPr>
          <w:rFonts w:ascii="Times New Roman" w:hAnsi="Times New Roman" w:hint="default"/>
          <w:b w:val="1"/>
          <w:bCs w:val="1"/>
          <w:u w:color="ff0000"/>
          <w:rtl w:val="0"/>
          <w:lang w:val="ru-RU"/>
        </w:rPr>
        <w:t>Реабилитация</w:t>
      </w:r>
      <w:r>
        <w:rPr>
          <w:rFonts w:ascii="Times New Roman" w:hAnsi="Times New Roman"/>
          <w:b w:val="1"/>
          <w:bCs w:val="1"/>
          <w:u w:color="ff0000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u w:color="ff0000"/>
          <w:rtl w:val="0"/>
          <w:lang w:val="ru-RU"/>
        </w:rPr>
        <w:t>новые горизонты и возможности»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мастер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классы по различным областям нейронаук и тренинги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марта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Колонтитулы A"/>
        <w:numPr>
          <w:ilvl w:val="0"/>
          <w:numId w:val="6"/>
        </w:numPr>
        <w:bidi w:val="0"/>
        <w:ind w:right="0"/>
        <w:jc w:val="both"/>
        <w:rPr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III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Всероссийская с международным участием конференция  по КПТ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C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BT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TAT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 3.0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»</w:t>
      </w:r>
    </w:p>
    <w:p>
      <w:pPr>
        <w:pStyle w:val="Колонтитулы A"/>
        <w:numPr>
          <w:ilvl w:val="0"/>
          <w:numId w:val="6"/>
        </w:numPr>
        <w:bidi w:val="0"/>
        <w:ind w:right="0"/>
        <w:jc w:val="both"/>
        <w:rPr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II</w:t>
      </w:r>
      <w:r>
        <w:rPr>
          <w:rFonts w:ascii="Times New Roman" w:hAnsi="Times New Roman"/>
          <w:b w:val="1"/>
          <w:bCs w:val="1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Всероссийская с международным участием конференция по арт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терапии </w:t>
      </w:r>
    </w:p>
    <w:p>
      <w:pPr>
        <w:pStyle w:val="Колонтитулы A"/>
        <w:numPr>
          <w:ilvl w:val="0"/>
          <w:numId w:val="6"/>
        </w:numPr>
        <w:bidi w:val="0"/>
        <w:ind w:right="0"/>
        <w:jc w:val="both"/>
        <w:rPr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научно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практическая школа Российского Общества сомнологов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РОС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</w:p>
    <w:p>
      <w:pPr>
        <w:pStyle w:val="Колонтитулы A"/>
        <w:numPr>
          <w:ilvl w:val="0"/>
          <w:numId w:val="6"/>
        </w:numPr>
        <w:bidi w:val="0"/>
        <w:ind w:right="0"/>
        <w:jc w:val="both"/>
        <w:rPr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лекция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перфоманс проекта «Неврология и искусство»</w:t>
      </w:r>
      <w:r>
        <w:rPr>
          <w:rFonts w:ascii="Times New Roman" w:hAnsi="Times New Roman"/>
          <w:rtl w:val="0"/>
          <w:lang w:val="en-US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Театр им Г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Камала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новое здание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марта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мастер классы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семинары и симпозиумы по различным актуальным проблемам клинической медицины   с участием ведущих ученых РФ и СНГ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26-28 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марта </w:t>
      </w:r>
      <w:r>
        <w:rPr>
          <w:rFonts w:ascii="Times New Roman" w:hAnsi="Times New Roman"/>
          <w:b w:val="1"/>
          <w:bCs w:val="1"/>
          <w:rtl w:val="0"/>
          <w:lang w:val="en-US"/>
        </w:rPr>
        <w:t>VII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Всероссийская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  международным участием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Олимпиада студентов по неврологии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 xml:space="preserve">( </w:t>
      </w:r>
      <w:r>
        <w:rPr>
          <w:rFonts w:ascii="Times New Roman" w:hAnsi="Times New Roman" w:hint="default"/>
          <w:rtl w:val="0"/>
          <w:lang w:val="ru-RU"/>
        </w:rPr>
        <w:t xml:space="preserve">Приглашаются команды ВУЗов в составе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 xml:space="preserve">студентов  </w:t>
      </w:r>
      <w:r>
        <w:rPr>
          <w:rFonts w:ascii="Times New Roman" w:hAnsi="Times New Roman"/>
          <w:rtl w:val="0"/>
          <w:lang w:val="ru-RU"/>
        </w:rPr>
        <w:t xml:space="preserve">4-6 </w:t>
      </w:r>
      <w:r>
        <w:rPr>
          <w:rFonts w:ascii="Times New Roman" w:hAnsi="Times New Roman" w:hint="default"/>
          <w:rtl w:val="0"/>
          <w:lang w:val="ru-RU"/>
        </w:rPr>
        <w:t>курсов</w:t>
      </w:r>
      <w:r>
        <w:rPr>
          <w:rFonts w:ascii="Times New Roman" w:hAnsi="Times New Roman"/>
          <w:rtl w:val="0"/>
          <w:lang w:val="ru-RU"/>
        </w:rPr>
        <w:t>).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Регистрация на сайте Образовательного центра профессора Якупова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"https://klinika-zdorovya.info"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https://klinika-zdorovya.info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Контакты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: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Председатель Оргкомитета Нейрофорума “</w:t>
      </w:r>
      <w:r>
        <w:rPr>
          <w:rFonts w:ascii="Times New Roman" w:hAnsi="Times New Roman"/>
          <w:sz w:val="22"/>
          <w:szCs w:val="22"/>
          <w:rtl w:val="0"/>
          <w:lang w:val="en-US"/>
        </w:rPr>
        <w:t>NeuroWeek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/>
          <w:sz w:val="22"/>
          <w:szCs w:val="22"/>
          <w:rtl w:val="0"/>
          <w:lang w:val="en-US"/>
        </w:rPr>
        <w:t>Kazan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202</w:t>
      </w:r>
      <w:r>
        <w:rPr>
          <w:rFonts w:ascii="Times New Roman" w:hAnsi="Times New Roman"/>
          <w:sz w:val="22"/>
          <w:szCs w:val="22"/>
          <w:rtl w:val="0"/>
          <w:lang w:val="en-US"/>
        </w:rPr>
        <w:t>6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»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Проф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Эдуард Закирзянович Якупов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тел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+7(987)290-25-62,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"mailto:ed_yakupov@mail.ru"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ed</w:t>
      </w:r>
      <w:r>
        <w:rPr>
          <w:rStyle w:val="Нет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_</w:t>
      </w:r>
      <w:r>
        <w:rPr>
          <w:rStyle w:val="Hyperlink.1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yakupov</w:t>
      </w:r>
      <w:r>
        <w:rPr>
          <w:rStyle w:val="Нет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@</w:t>
      </w:r>
      <w:r>
        <w:rPr>
          <w:rStyle w:val="Hyperlink.1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mail</w:t>
      </w:r>
      <w:r>
        <w:rPr>
          <w:rStyle w:val="Нет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cs="Times New Roman" w:hAnsi="Times New Roman" w:eastAsia="Times New Roman"/>
          <w:sz w:val="22"/>
          <w:szCs w:val="22"/>
          <w:lang w:val="ru-RU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4060206</wp:posOffset>
            </wp:positionH>
            <wp:positionV relativeFrom="line">
              <wp:posOffset>189652</wp:posOffset>
            </wp:positionV>
            <wp:extent cx="1244775" cy="893658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775" cy="89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  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 уважением</w:t>
      </w:r>
      <w:r>
        <w:rPr>
          <w:rStyle w:val="Нет"/>
          <w:rFonts w:ascii="Times New Roman" w:hAnsi="Times New Roman"/>
          <w:rtl w:val="0"/>
          <w:lang w:val="ru-RU"/>
        </w:rPr>
        <w:t>,</w:t>
      </w:r>
    </w:p>
    <w:p>
      <w:pPr>
        <w:pStyle w:val="Колонтитулы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</w:tabs>
        <w:jc w:val="both"/>
      </w:pPr>
      <w:r>
        <w:rPr>
          <w:rStyle w:val="Нет"/>
          <w:rFonts w:ascii="Times New Roman" w:hAnsi="Times New Roman" w:hint="default"/>
          <w:rtl w:val="0"/>
          <w:lang w:val="ru-RU"/>
        </w:rPr>
        <w:t>Председатель Оргкомитета Нейрофорума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проф</w:t>
      </w:r>
      <w:r>
        <w:rPr>
          <w:rStyle w:val="Нет"/>
          <w:rFonts w:ascii="Times New Roman" w:hAnsi="Times New Roman"/>
          <w:rtl w:val="0"/>
          <w:lang w:val="ru-RU"/>
        </w:rPr>
        <w:t xml:space="preserve">.                                                                            </w:t>
      </w:r>
      <w:r>
        <w:rPr>
          <w:rStyle w:val="Нет"/>
          <w:rFonts w:ascii="Times New Roman" w:hAnsi="Times New Roman" w:hint="default"/>
          <w:rtl w:val="0"/>
          <w:lang w:val="ru-RU"/>
        </w:rPr>
        <w:t>Э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rtl w:val="0"/>
          <w:lang w:val="ru-RU"/>
        </w:rPr>
        <w:t>З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Якупов </w:t>
      </w:r>
    </w:p>
    <w:sectPr>
      <w:headerReference w:type="default" r:id="rId5"/>
      <w:footerReference w:type="default" r:id="rId6"/>
      <w:pgSz w:w="11900" w:h="16840" w:orient="portrait"/>
      <w:pgMar w:top="364" w:right="360" w:bottom="138" w:left="720" w:header="227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С буквами"/>
  </w:abstractNum>
  <w:abstractNum w:abstractNumId="3">
    <w:multiLevelType w:val="hybridMultilevel"/>
    <w:styleLink w:val="С буквами"/>
    <w:lvl w:ilvl="0">
      <w:start w:val="1"/>
      <w:numFmt w:val="decimal"/>
      <w:suff w:val="tab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2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7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Пункты"/>
  </w:abstractNum>
  <w:abstractNum w:abstractNumId="5">
    <w:multiLevelType w:val="hybridMultilevel"/>
    <w:styleLink w:val="Пункты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1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1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25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3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3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4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0"/>
          <w:tab w:val="left" w:pos="9360"/>
          <w:tab w:val="left" w:pos="9600"/>
        </w:tabs>
        <w:ind w:left="4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Колонтитулы A">
    <w:name w:val="Колонтитулы A"/>
    <w:next w:val="Колонтитулы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 A">
    <w:name w:val="Нет A"/>
  </w:style>
  <w:style w:type="numbering" w:styleId="С буквами">
    <w:name w:val="С буквами"/>
    <w:pPr>
      <w:numPr>
        <w:numId w:val="3"/>
      </w:numPr>
    </w:pPr>
  </w:style>
  <w:style w:type="numbering" w:styleId="Пункты">
    <w:name w:val="Пункты"/>
    <w:pPr>
      <w:numPr>
        <w:numId w:val="5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