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xmlns:wp="http://schemas.openxmlformats.org/drawingml/2006/wordprocessingDrawing" xmlns:wpg="http://schemas.microsoft.com/office/word/2010/wordprocessingGroup" xmlns:wps="http://schemas.microsoft.com/office/word/2010/wordprocessingShape">
  <w:body>
    <w:tbl>
      <w:tblPr>
        <w:tblStyle w:val="TableStyle0"/>
        <w:tblW w:w="5000" w:type="pct"/>
        <w:tblLayout w:type="fixed"/>
        <w:tblCellMar>
          <w:left w:w="57" w:type="dxa"/>
          <w:right w:w="57" w:type="dxa"/>
        </w:tblCellMar>
        <w:tblLook w:val="04A0"/>
      </w:tblPr>
      <w:tblGrid>
        <w:gridCol w:w="2985"/>
        <w:gridCol w:w="3045"/>
        <w:gridCol w:w="9645"/>
      </w:tblGrid>
      <w:tr>
        <w:trPr>
          <w:cantSplit/>
          <w:trHeight w:val="0" w:hRule="auto"/>
        </w:trPr>
        <w:tc>
          <w:tcPr>
            <w:tcW w:w="15675" w:type="dxa"/>
            <w:gridSpan w:val="3"/>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center"/>
            </w:pPr>
            <w:r>
              <w:rPr>
                <w:rFonts w:ascii="Times New Roman" w:hAnsi="Times New Roman"/>
                <w:b/>
                <w:sz w:val="27"/>
                <w:szCs w:val="27"/>
              </w:rPr>
              <w:t>Отчет по науке сотрудника  из Кафедры психиатрии и медицинской психологии, за III Квартал 2026 - 2027  учебного года.</w:t>
            </w:r>
          </w:p>
        </w:tc>
      </w:tr>
      <w:tr>
        <w:trPr>
          <w:cantSplit/>
          <w:trHeight w:val="0" w:hRule="auto"/>
        </w:trPr>
        <w:tc>
          <w:tcPr>
            <w:tcW w:w="2985" w:type="dxa"/>
            <w:vMerge w:val="restart"/>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Список изданных трудов сотрудниками кафедры,  за III Квартал  2026 - 2027 года (все публикации дублируются в научную библиотеку)</w:t>
            </w: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Статьи ВАК (со всеми выходными данными по ГОСТ), импакт-фактор журнала, где опубликована статья; цитируемость статьи; ссылка на статью; DOI;</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2985" w:type="dxa"/>
            <w:vMerge w:val="continue"/>
            <w:tcBorders>
              <w:top w:val="single" w:sz="5" w:space="0" w:color="auto"/>
              <w:left w:val="single" w:sz="5" w:space="0" w:color="auto"/>
              <w:bottom w:val="single" w:sz="5" w:space="0" w:color="auto"/>
              <w:right w:val="single" w:sz="5" w:space="0" w:color="auto"/>
            </w:tcBorders>
            <w:shd w:val="clear" w:color="auto" w:fill="auto"/>
            <w:textDirection w:val="lrTb"/>
            <w:vAlign w:val="bottom"/>
          </w:tcP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Зарубежные статьи (со всеми выходными данными по ГОСТ), импакт-фактор журнала, где опубликована статья; цитируемость статьи; ссылка на статью; DOI;</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2985" w:type="dxa"/>
            <w:vMerge w:val="continue"/>
            <w:tcBorders>
              <w:top w:val="single" w:sz="5" w:space="0" w:color="auto"/>
              <w:left w:val="single" w:sz="5" w:space="0" w:color="auto"/>
              <w:bottom w:val="single" w:sz="5" w:space="0" w:color="auto"/>
              <w:right w:val="single" w:sz="5" w:space="0" w:color="auto"/>
            </w:tcBorders>
            <w:shd w:val="clear" w:color="auto" w:fill="auto"/>
            <w:textDirection w:val="lrTb"/>
            <w:vAlign w:val="bottom"/>
          </w:tcP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Статьи </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r>
              <w:rPr>
                <w:rFonts w:ascii="Times New Roman" w:hAnsi="Times New Roman"/>
                <w:sz w:val="23"/>
                <w:szCs w:val="23"/>
              </w:rPr>
              <w:t>СтатьяРИНЦ - </w:t>
            </w:r>
          </w:p>
          <w:p>
            <w:pPr>
              <w:spacing w:after="0"/>
              <w:wordWrap w:val="1"/>
              <w:jc w:val="left"/>
            </w:pPr>
            <w:r>
              <w:rPr>
                <w:rFonts w:ascii="Times New Roman" w:hAnsi="Times New Roman"/>
                <w:sz w:val="23"/>
                <w:szCs w:val="23"/>
              </w:rPr>
              <w:t>СтатьяЯдроРИНЦ - </w:t>
            </w:r>
          </w:p>
          <w:p>
            <w:pPr>
              <w:spacing w:after="0"/>
              <w:wordWrap w:val="1"/>
              <w:jc w:val="left"/>
            </w:pPr>
            <w:r>
              <w:rPr>
                <w:rFonts w:ascii="Times New Roman" w:hAnsi="Times New Roman"/>
                <w:sz w:val="23"/>
                <w:szCs w:val="23"/>
              </w:rPr>
              <w:t>ДругиеСтатьи</w:t>
            </w:r>
          </w:p>
          <w:p>
            <w:pPr>
              <w:spacing w:after="0"/>
              <w:wordWrap w:val="1"/>
              <w:jc w:val="left"/>
            </w:pPr>
            <w:r>
              <w:rPr>
                <w:rFonts w:ascii="Times New Roman" w:hAnsi="Times New Roman"/>
                <w:sz w:val="23"/>
                <w:szCs w:val="23"/>
              </w:rPr>
              <w:t>Сборник статей</w:t>
            </w:r>
          </w:p>
        </w:tc>
      </w:tr>
      <w:tr>
        <w:trPr>
          <w:cantSplit/>
          <w:trHeight w:val="0" w:hRule="auto"/>
        </w:trPr>
        <w:tc>
          <w:tcPr>
            <w:tcW w:w="2985" w:type="dxa"/>
            <w:vMerge w:val="continue"/>
            <w:tcBorders>
              <w:top w:val="single" w:sz="5" w:space="0" w:color="auto"/>
              <w:left w:val="single" w:sz="5" w:space="0" w:color="auto"/>
              <w:bottom w:val="single" w:sz="5" w:space="0" w:color="auto"/>
              <w:right w:val="single" w:sz="5" w:space="0" w:color="auto"/>
            </w:tcBorders>
            <w:shd w:val="clear" w:color="auto" w:fill="auto"/>
            <w:textDirection w:val="lrTb"/>
            <w:vAlign w:val="bottom"/>
          </w:tcP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Статья Scopus (со всеми выходными данными по ГОСТ), импакт-фактор журнала, где опубликована статья; цитируемость статьи; ссылка на статью; DOI;</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r>
              <w:rPr>
                <w:rFonts w:ascii="Times New Roman" w:hAnsi="Times New Roman"/>
                <w:sz w:val="23"/>
                <w:szCs w:val="23"/>
              </w:rPr>
              <w:t xml:space="preserve"> -  Менделевич Владимир Давыдович  -  О «голосах в голове» и неразгаданных тайнах пограничного расстройства личности. Случай Анны А. 1. Менделевич В.Д., Нестерина М.К.  Клинический разбор в общей медицине 1. Менделевич В.Д., Нестерина М.К. О «голосах в голове» и неразгаданных тайнах пограничного расстройства личности. Случай Анны А. // Клинический разбо DOI: 10.47407/kr2026.7.3.00796 </w:t>
            </w:r>
          </w:p>
          <w:p>
            <w:pPr>
              <w:spacing w:after="0"/>
              <w:wordWrap w:val="1"/>
              <w:jc w:val="left"/>
            </w:pPr>
            <w:r>
              <w:rPr>
                <w:rFonts w:ascii="Times New Roman" w:hAnsi="Times New Roman"/>
                <w:sz w:val="23"/>
                <w:szCs w:val="23"/>
              </w:rPr>
              <w:t xml:space="preserve"> -  Менделевич Владимир Давыдович  -  Дифференциальная диагностика расстройств аутистического спектра и шизотипического расстройства в подростковом возрасте: современные реалии Менделевич В.Д., Завадская Ю.Д. Неврологический вестник 2. Завадская Ю.Д., Менделевич В.Д. Дифференциальная диагностика расстройств аутистического спектра и шизотипического расстройства в подростковом возра DOI: 10.17816/nb703290</w:t>
            </w:r>
          </w:p>
          <w:p>
            <w:pPr>
              <w:spacing w:after="0"/>
              <w:wordWrap w:val="1"/>
              <w:jc w:val="left"/>
            </w:pPr>
            <w:r>
              <w:rPr>
                <w:rFonts w:ascii="Times New Roman" w:hAnsi="Times New Roman"/>
                <w:sz w:val="23"/>
                <w:szCs w:val="23"/>
              </w:rPr>
              <w:t xml:space="preserve"> -  Менделевич Владимир Давыдович  -  Клиническое применение антидепрессантов: преимущества и возможности отдельных препаратов 1.   Сиволап Ю.П., Менделевич В.Д.  Журнал неврологии и психиатрии им. С.С. Корсаков 1.  Сиволап Ю.П., Менделевич В.Д. Клиническое применение антидепрессантов: преимущества и возможности отдельных препаратов. // Журнал неврологии и псих https://doi.org/10.17116/jnevro202612606145</w:t>
            </w:r>
          </w:p>
          <w:p>
            <w:pPr>
              <w:spacing w:after="0"/>
              <w:wordWrap w:val="1"/>
              <w:jc w:val="left"/>
            </w:pPr>
            <w:r>
              <w:rPr>
                <w:rFonts w:ascii="Times New Roman" w:hAnsi="Times New Roman"/>
                <w:sz w:val="23"/>
                <w:szCs w:val="23"/>
              </w:rPr>
              <w:t xml:space="preserve"> -  Менделевич Владимир Давыдович  -  Феномен ангедонии в зеркале клинического опыта: результаты опроса 1021 психиатра в России 2.  Касьянов Е.Д., Барыльник Ю.Б., Бойко Е.О., Букина И.В., Галиуллина Л.К., Ивашиненко Д.М., Карпухин И.Б., Корнетова Е.Г., Корягина Д.А., Костюк Г.П., Медведев В.Э., Менделевич В.Д., Петрунько О.В., Сорокина В.А., Софронов А.Г., Усов Г.М., Мухин А.А., Мазо Г.Э. Обозрение психиатрии и  медицинской психологии им. В.М. Бехтерева 2026 2.   Касьянов Е.Д., Барыльник Ю.Б., Бойко Е.О., Букина И.В., Галиуллина Л.К., Ивашиненко Д.М., Карпухин И.Б., Корнетова Е.Г., Корягина Д.А., Костюк Г.П. http//doi.org/10.31363/2313-7053-2026-4-1223</w:t>
            </w:r>
          </w:p>
        </w:tc>
      </w:tr>
      <w:tr>
        <w:trPr>
          <w:cantSplit/>
          <w:trHeight w:val="0" w:hRule="auto"/>
        </w:trPr>
        <w:tc>
          <w:tcPr>
            <w:tcW w:w="2985" w:type="dxa"/>
            <w:vMerge w:val="continue"/>
            <w:tcBorders>
              <w:top w:val="single" w:sz="5" w:space="0" w:color="auto"/>
              <w:left w:val="single" w:sz="5" w:space="0" w:color="auto"/>
              <w:bottom w:val="single" w:sz="5" w:space="0" w:color="auto"/>
              <w:right w:val="single" w:sz="5" w:space="0" w:color="auto"/>
            </w:tcBorders>
            <w:shd w:val="clear" w:color="auto" w:fill="auto"/>
            <w:textDirection w:val="lrTb"/>
            <w:vAlign w:val="bottom"/>
          </w:tcP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Статья Web of Science, WoK (со всеми выходными данными по ГОСТ), импакт-фактор журнала, где опубликована статья; цитируемость статьи; ссылка на статью; DOI;</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2985" w:type="dxa"/>
            <w:vMerge w:val="continue"/>
            <w:tcBorders>
              <w:top w:val="single" w:sz="5" w:space="0" w:color="auto"/>
              <w:left w:val="single" w:sz="5" w:space="0" w:color="auto"/>
              <w:bottom w:val="single" w:sz="5" w:space="0" w:color="auto"/>
              <w:right w:val="single" w:sz="5" w:space="0" w:color="auto"/>
            </w:tcBorders>
            <w:shd w:val="clear" w:color="auto" w:fill="auto"/>
            <w:textDirection w:val="lrTb"/>
            <w:vAlign w:val="bottom"/>
          </w:tcP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Изданные рецензируемые монографии (с выходными данными по ГОСТ),всех авторов, название монографии полное, без сокращений, год выпуска, тираж, объем, УПЛ, количество страниц, издательство</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2985" w:type="dxa"/>
            <w:vMerge w:val="continue"/>
            <w:tcBorders>
              <w:top w:val="single" w:sz="5" w:space="0" w:color="auto"/>
              <w:left w:val="single" w:sz="5" w:space="0" w:color="auto"/>
              <w:bottom w:val="single" w:sz="5" w:space="0" w:color="auto"/>
              <w:right w:val="single" w:sz="5" w:space="0" w:color="auto"/>
            </w:tcBorders>
            <w:shd w:val="clear" w:color="auto" w:fill="auto"/>
            <w:textDirection w:val="lrTb"/>
            <w:vAlign w:val="bottom"/>
          </w:tcP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Тезисы конференций, с указанием статуса конференции</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Участие в конференции (с указанием статуса, названия, города, в качестве  кого принимали участие, количество участников) за III Квартал  2026 - 2027 года </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r>
              <w:rPr>
                <w:rFonts w:ascii="Times New Roman" w:hAnsi="Times New Roman"/>
                <w:sz w:val="23"/>
                <w:szCs w:val="23"/>
              </w:rPr>
              <w:t xml:space="preserve"> </w:t>
            </w: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b/>
                <w:sz w:val="23"/>
                <w:szCs w:val="23"/>
              </w:rPr>
              <w:t>Проведенные конференции (силами кафедры) с предоставлением программы и отчета (см образец) конференции и сборника тезисов, за   III Квартал  2026 - 2027 года (программы конференций и сборники предоставлять оригиналы). С ФОТО- и ВИДЕОТЧЕТОМ</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2985" w:type="dxa"/>
            <w:vMerge w:val="restart"/>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b/>
                <w:sz w:val="23"/>
                <w:szCs w:val="23"/>
              </w:rPr>
              <w:t>Список защитившихся за  III Квартал  2026 - 2027 года, с предоставлением автореферата (оригинала)</w:t>
            </w: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кандидатские</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2985" w:type="dxa"/>
            <w:vMerge w:val="continue"/>
            <w:tcBorders>
              <w:top w:val="single" w:sz="5" w:space="0" w:color="auto"/>
              <w:left w:val="single" w:sz="5" w:space="0" w:color="auto"/>
              <w:bottom w:val="single" w:sz="5" w:space="0" w:color="auto"/>
              <w:right w:val="single" w:sz="5" w:space="0" w:color="auto"/>
            </w:tcBorders>
            <w:shd w:val="clear" w:color="auto" w:fill="auto"/>
            <w:textDirection w:val="lrTb"/>
            <w:vAlign w:val="bottom"/>
          </w:tcPr>
          <w:p/>
        </w:tc>
        <w:tc>
          <w:tcPr>
            <w:tcW w:w="3045" w:type="dxa"/>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докторские</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Гранты с указанием № гранта, инвестора, названия гранта, руководителя, исполнителя(ей), сумма гранта, № РК за   III Квартал  2026 - 2027 года (с указанием ссылки на указ, постановление и тд)</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Заявки на гранты с указанием № заявки, инвестора, названия гранта, руководителя, исполнителя(ей), сумма подаваемой заявки за   III Квартал  2026 - 2027 года</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Межкластерное взаимодействие (участие в конференциях, проведение совместных научно-практических мероприятий, научная работа, гранты, и т.д.) в кластер входят ИжГМА, ПИМУ, КирГМА, ПермГМУ. Ульяновский ГУ, КГМА за   III Квартал  2026 - 2027 года.</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Другие награды (заслуженный деятель, какие-либо медали и тд), достижения, победители конкурсов, олимпиад (различного уровня)  и другие достижения, награды кафедры (сотрудников кафедр)  за   III Квартал  2026 - 2027 года</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Заключенные договора/соглашения о научном сотрудничестве с регионами, организациями/реальным сектором экономики и другими учреждениями как на территории Российской Федерации, так и за пределами Российской Федерации за   III Квартал  2026 - 2027 года (с предоставлением копии договора в электронном и бумажном вариантах с подписями и печатями)</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Научные работы, которые ведутся по заказам различных организаций (по РТ, по РФ и за рубежом)  за  III Квартал  2026 - 2027 года (заказчик, название, краткое описание заказа, сроки реализации, стоимость), с предоставлением договора/соглашения на проведение работ</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Участвуют сотрудники Вашей кафедры в ред коллегии, консультативные советы журналов (в каких и до какого срока), статус журнала указать</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Сотрудники кафедры, состоящие в руководящих и консультативных органах международных научных обществ и объединений</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Являются ли сотрудники кафедры членами Диссертационного совета (указать номер диссовета, название,  по какой специальности, ВУЗ, город, в качестве кого входит в состав диссовета (председатель, зам.председателя, секретарь, член совета))</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b/>
                <w:sz w:val="23"/>
                <w:szCs w:val="23"/>
              </w:rPr>
              <w:t>Акты внедрения кафедры за  III Квартал  2026 - 2027 год с предоставлением копий в научный отдел</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Заявки, поданные на участие в конкурсах инновационного направления, с указанием темы, руководителя и исполнителя проекта, (ФИО обучающихся, группа), статуса заявки, суммы гранта.</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wordWrap w:val="1"/>
              <w:jc w:val="left"/>
            </w:pPr>
            <w:r>
              <w:rPr>
                <w:rFonts w:ascii="Times New Roman" w:hAnsi="Times New Roman"/>
                <w:sz w:val="23"/>
                <w:szCs w:val="23"/>
              </w:rPr>
              <w:t>Наличие совместных РИД (патентов) с другими организациями и учреждениями, из числа неучтенных РИД КГМУ. </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r>
              <w:rPr>
                <w:rFonts w:ascii="Times New Roman" w:hAnsi="Times New Roman"/>
                <w:sz w:val="23"/>
                <w:szCs w:val="23"/>
              </w:rPr>
              <w:t xml:space="preserve"> </w:t>
            </w:r>
          </w:p>
        </w:tc>
      </w:tr>
      <w:tr>
        <w:trPr>
          <w:cantSplit/>
          <w:trHeight w:val="0" w:hRule="auto"/>
        </w:trPr>
        <w:tc>
          <w:tcPr>
            <w:tcW w:w="6030" w:type="dxa"/>
            <w:gridSpan w:val="2"/>
            <w:tcBorders>
              <w:top w:val="single" w:sz="5" w:space="0" w:color="auto"/>
              <w:left w:val="single" w:sz="5" w:space="0" w:color="auto"/>
              <w:bottom w:val="single" w:sz="5" w:space="0" w:color="auto"/>
              <w:right w:val="single" w:sz="5" w:space="0" w:color="auto"/>
            </w:tcBorders>
            <w:shd w:val="clear" w:color="auto" w:fill="auto"/>
            <w:textDirection w:val="lrTb"/>
            <w:vAlign w:val="center"/>
          </w:tcPr>
          <w:p>
            <w:pPr>
              <w:spacing w:after="0"/>
              <w:jc w:val="left"/>
            </w:pPr>
            <w:r>
              <w:rPr>
                <w:rFonts w:ascii="Times New Roman" w:hAnsi="Times New Roman"/>
                <w:sz w:val="23"/>
                <w:szCs w:val="23"/>
              </w:rPr>
              <w:t>Свидетельство РИД</w:t>
            </w:r>
          </w:p>
        </w:tc>
        <w:tc>
          <w:tcPr>
            <w:tcW w:w="9645" w:type="dxa"/>
            <w:tcBorders>
              <w:top w:val="single" w:sz="5" w:space="0" w:color="auto"/>
              <w:left w:val="single" w:sz="5" w:space="0" w:color="auto"/>
              <w:bottom w:val="single" w:sz="5" w:space="0" w:color="auto"/>
              <w:right w:val="single" w:sz="5" w:space="0" w:color="auto"/>
            </w:tcBorders>
            <w:shd w:val="clear" w:color="auto" w:fill="auto"/>
            <w:textDirection w:val="lrTb"/>
            <w:vAlign w:val="bottom"/>
          </w:tcPr>
          <w:p>
            <w:pPr>
              <w:spacing w:after="0"/>
              <w:wordWrap w:val="1"/>
              <w:jc w:val="left"/>
            </w:pPr>
          </w:p>
        </w:tc>
      </w:tr>
    </w:tbl>
    <w:sectPr>
      <w:pgSz w:w="16839" w:h="11907" w:orient="landscape"/>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5"/>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