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xmlns:wpg="http://schemas.microsoft.com/office/word/2010/wordprocessingGroup" xmlns:wps="http://schemas.microsoft.com/office/word/2010/wordprocessingShape">
  <w:body>
    <w:tbl>
      <w:tblPr>
        <w:tblStyle w:val="TableStyle0"/>
        <w:tblW w:w="5000" w:type="pct"/>
        <w:tblLayout w:type="fixed"/>
        <w:tblCellMar>
          <w:left w:w="57" w:type="dxa"/>
          <w:right w:w="57" w:type="dxa"/>
        </w:tblCellMar>
        <w:tblLook w:val="04A0"/>
      </w:tblPr>
      <w:tblGrid>
        <w:gridCol w:w="2985"/>
        <w:gridCol w:w="3045"/>
        <w:gridCol w:w="9645"/>
      </w:tblGrid>
      <w:tr>
        <w:trPr>
          <w:cantSplit/>
          <w:trHeight w:val="0" w:hRule="auto"/>
        </w:trPr>
        <w:tc>
          <w:tcPr>
            <w:tcW w:w="15675" w:type="dxa"/>
            <w:gridSpan w:val="3"/>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center"/>
            </w:pPr>
            <w:r>
              <w:rPr>
                <w:rFonts w:ascii="Times New Roman" w:hAnsi="Times New Roman"/>
                <w:b/>
                <w:sz w:val="27"/>
                <w:szCs w:val="27"/>
              </w:rPr>
              <w:t>Отчет по науке сотрудника  из Кафедры симуляционных методов обучения в медицине, за III Квартал 2025 - 2026  учебного года.</w:t>
            </w:r>
          </w:p>
        </w:tc>
      </w:tr>
      <w:tr>
        <w:trPr>
          <w:cantSplit/>
          <w:trHeight w:val="0" w:hRule="auto"/>
        </w:trPr>
        <w:tc>
          <w:tcPr>
            <w:tcW w:w="2985" w:type="dxa"/>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Список изданных трудов сотрудниками кафедры,  за III Квартал  2025 - 2026 года (все публикации дублируются в научную библиотеку)</w:t>
            </w: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Статьи ВАК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  Гатиятуллина Лилия Лукмановна  -  Этика и безопасность в использовании искусственного интеллекта  Гатиятуллина Лилия Лукмановна Медицинское образование: выбор поколений XXI века : Сборник материалов, Казань EDN WDJEVL -</w:t>
            </w: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Зарубежные статьи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Статьи </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СтатьяРИНЦ - </w:t>
            </w:r>
          </w:p>
          <w:p>
            <w:pPr>
              <w:spacing w:after="0"/>
              <w:wordWrap w:val="1"/>
              <w:jc w:val="left"/>
            </w:pPr>
            <w:r>
              <w:rPr>
                <w:rFonts w:ascii="Times New Roman" w:hAnsi="Times New Roman"/>
                <w:sz w:val="23"/>
                <w:szCs w:val="23"/>
              </w:rPr>
              <w:t xml:space="preserve"> -  Гатиятуллина Лилия Лукмановна  -  Этика и безопасность в использовании искусственного интеллекта в подготовке, переподготовке кадров, оказывающих первичную медико-санитарную помощь  Гатиятуллина Лилия Лукмановна, Мустафина Диана Робертовна, Сторожилова Анастасия Евгеньевна Организация первичной медико-санитарной помощи населению, Казань Гатиятуллина, Л. Л. Этика и безопасность в использовании искусственного интеллекта в подготовке, переподготовке кадров, оказывающих первичную медико-с -</w:t>
            </w:r>
          </w:p>
          <w:p>
            <w:pPr>
              <w:spacing w:after="0"/>
              <w:wordWrap w:val="1"/>
              <w:jc w:val="left"/>
            </w:pPr>
            <w:r>
              <w:rPr>
                <w:rFonts w:ascii="Times New Roman" w:hAnsi="Times New Roman"/>
                <w:sz w:val="23"/>
                <w:szCs w:val="23"/>
              </w:rPr>
              <w:t>СтатьяЯдроРИНЦ - </w:t>
            </w:r>
          </w:p>
          <w:p>
            <w:pPr>
              <w:spacing w:after="0"/>
              <w:wordWrap w:val="1"/>
              <w:jc w:val="left"/>
            </w:pPr>
            <w:r>
              <w:rPr>
                <w:rFonts w:ascii="Times New Roman" w:hAnsi="Times New Roman"/>
                <w:sz w:val="23"/>
                <w:szCs w:val="23"/>
              </w:rPr>
              <w:t>ДругиеСтатьи</w:t>
            </w:r>
          </w:p>
          <w:p>
            <w:pPr>
              <w:spacing w:after="0"/>
              <w:wordWrap w:val="1"/>
              <w:jc w:val="left"/>
            </w:pPr>
            <w:r>
              <w:rPr>
                <w:rFonts w:ascii="Times New Roman" w:hAnsi="Times New Roman"/>
                <w:sz w:val="23"/>
                <w:szCs w:val="23"/>
              </w:rPr>
              <w:t>Сборник статей</w:t>
            </w:r>
          </w:p>
          <w:p>
            <w:pPr>
              <w:spacing w:after="0"/>
              <w:wordWrap w:val="1"/>
              <w:jc w:val="left"/>
            </w:pPr>
            <w:r>
              <w:rPr>
                <w:rFonts w:ascii="Times New Roman" w:hAnsi="Times New Roman"/>
                <w:sz w:val="23"/>
                <w:szCs w:val="23"/>
              </w:rPr>
              <w:t xml:space="preserve"> -  Гатиятуллина Лилия Лукмановна  -  Этика и безопасность в использовании искусственного интеллекта в подготовке, переподготовке кадров, оказывающих первичную медико-санитарную помощь  Гатиятуллина Лилия Лукмановна, Мустафина Диана Робертовна, Сторожилова Анастасия Евгеньевна Организация первичной медико-санитарной помощи населению, Казань Гатиятуллина, Л. Л. Этика и безопасность в использовании искусственного интеллекта в подготовке, переподготовке кадров, оказывающих первичную медико-с -</w:t>
            </w:r>
          </w:p>
          <w:p>
            <w:pPr>
              <w:spacing w:after="0"/>
              <w:wordWrap w:val="1"/>
              <w:jc w:val="left"/>
            </w:pPr>
            <w:r>
              <w:rPr>
                <w:rFonts w:ascii="Times New Roman" w:hAnsi="Times New Roman"/>
                <w:sz w:val="23"/>
                <w:szCs w:val="23"/>
              </w:rPr>
              <w:t xml:space="preserve"> -  Гатиятуллина Лилия Лукмановна  -  НЕЙРОНАУКА КАК РЕСУРС СОВРЕМЕННОГО ОБРАЗОВАНИЯ Гатиятуллина Лилия Лукмановна, Емельянова Полина Владиславовна, Сторожилова Анастасия Евгеньевна Педагогика и психология в непрерывной системе образования: от теории к практике Сборник материалов II Всероссийской научно-практической конференции с международным участием Педагогика и психология в непрерывной системе образования: от теории к¶практике [Электронный ресурс]: сборник материалов II Всероссийской¶научно-практ -</w:t>
            </w:r>
          </w:p>
          <w:p>
            <w:pPr>
              <w:spacing w:after="0"/>
              <w:wordWrap w:val="1"/>
              <w:jc w:val="left"/>
            </w:pPr>
            <w:r>
              <w:rPr>
                <w:rFonts w:ascii="Times New Roman" w:hAnsi="Times New Roman"/>
                <w:sz w:val="23"/>
                <w:szCs w:val="23"/>
              </w:rPr>
              <w:t xml:space="preserve"> -  Использование компьютерной обучающей программы в качестве переходной ступени к внедрению искусственного интеллекта в образовательный процесс  Булатов Сергей Александрович Медицинское образование: выбор поколений XXI века : Сборник материалов, Казань, 14–15 мая 2025 года. – Казань: Казанский государственный медицинский университет, 2025 Булатов, С. А. Использование компьютерной обучающей программы в качестве переходной ступени к внедрению искусственного интеллекта в образовательный процесс / С. А. Булатов, Э. Х. Харисова // Медицинское образование: выбор поколений XXI века : Сборник материалов, Казань, 14–15 мая 2025 года. – Казань: Казанский государственный медицинский университет, 2025. – С. 15-19. – EDN FMOQTV</w:t>
            </w: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Статья Scopus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  Гатиятуллина Лилия Лукмановна  -  THE FUTURE OF THE MEDICAL PROFESSION IN THE ERA OF ARTIFICIAL INTELLIGENCE AND HEALTHCARE ROBOTIZATION Гатиятуллина Лилия Лукмановна, Михайлова Анита Геннадьевна, Федотова Алина Григорьевна, Шайдуллин Артур Русланович, Янгирова Айсылу Робертовна European Journal of Clinical Pharmacy Gatiyatullina LL, Shaidullin AR, Fedotova AG, Iangirova AR, Mikhailova AG.THE FUTURE OF THE¶MEDICAL PROFESSION IN THE ERA OF ARTIFICIAL INTELLIGENCE A -</w:t>
            </w: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Статья Web of Science, WoK (со всеми выходными данными по ГОСТ), импакт-фактор журнала, где опубликована статья; цитируемость статьи; ссылка на статью; DOI;</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Изданные рецензируемые монографии (с выходными данными по ГОСТ),всех авторов, название монографии полное, без сокращений, год выпуска, тираж, объем, УПЛ, количество страниц, издательство</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Тезисы конференций, с указанием статуса конференции</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  Методика «стандартизированный пациент»: от актера к реальному пациенту в проблеме ранней диагностики заболеваний сердца Булатов Сергей Александрович, Мингалимова Ильвера Маратовна Виртуальные технологии Булатов С.А., Мингалимова И.М. Методика «стандартизированный пациент»: от актера к реальному пациенту в проблеме ранней диагностики заболеваний сердца. Виртуальные технологии в медицине. 2025;(3):276-277. https://doi.org/10.46594/2687-0037_2025_3_2085</w:t>
            </w: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Участие в конференции (с указанием статуса, названия, города, в качестве  кого принимали участие, количество участников) за III Квартал  2025 - 2026 года </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w:t>
            </w: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b/>
                <w:sz w:val="23"/>
                <w:szCs w:val="23"/>
              </w:rPr>
              <w:t>Проведенные конференции (силами кафедры) с предоставлением программы и отчета (см образец) конференции и сборника тезисов, за   III Квартал  2025 - 2026 года (программы конференций и сборники предоставлять оригиналы). С ФОТО- и ВИДЕОТЧЕТОМ</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restart"/>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b/>
                <w:sz w:val="23"/>
                <w:szCs w:val="23"/>
              </w:rPr>
              <w:t>Список защитившихся за  III Квартал  2025 - 2026 года, с предоставлением автореферата (оригинала)</w:t>
            </w: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кандидатские</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2985" w:type="dxa"/>
            <w:vMerge w:val="continue"/>
            <w:tcBorders>
              <w:top w:val="single" w:sz="5" w:space="0" w:color="auto"/>
              <w:left w:val="single" w:sz="5" w:space="0" w:color="auto"/>
              <w:bottom w:val="single" w:sz="5" w:space="0" w:color="auto"/>
              <w:right w:val="single" w:sz="5" w:space="0" w:color="auto"/>
            </w:tcBorders>
            <w:shd w:val="clear" w:color="auto" w:fill="auto"/>
            <w:textDirection w:val="lrTb"/>
            <w:vAlign w:val="bottom"/>
          </w:tcPr>
          <w:p/>
        </w:tc>
        <w:tc>
          <w:tcPr>
            <w:tcW w:w="3045" w:type="dxa"/>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докторские</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Гранты с указанием № гранта, инвестора, названия гранта, руководителя, исполнителя(ей), сумма гранта, № РК за   III Квартал  2025 - 2026 года (с указанием ссылки на указ, постановление и тд)</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Заявки на гранты с указанием № заявки, инвестора, названия гранта, руководителя, исполнителя(ей), сумма подаваемой заявки за   III Квартал  2025 - 2026 года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Межкластерное взаимодействие (участие в конференциях, проведение совместных научно-практических мероприятий, научная работа, гранты, и т.д.) в кластер входят ИжГМА, ПИМУ, КирГМА, ПермГМУ. Ульяновский ГУ, КГМА за   III Квартал  2025 - 2026 года.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Другие награды (заслуженный деятель, какие-либо медали и тд), достижения, победители конкурсов, олимпиад (различного уровня)  и другие достижения, награды кафедры (сотрудников кафедр)  за   III Квартал  2025 - 2026 года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Заключенные договора/соглашения о научном сотрудничестве с регионами, организациями/реальным сектором экономики и другими учреждениями как на территории Российской Федерации, так и за пределами Российской Федерации за   III Квартал  2025 - 2026 года (с предоставлением копии договора в электронном и бумажном вариантах с подписями и печатями)</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Научные работы, которые ведутся по заказам различных организаций (по РТ, по РФ и за рубежом)  за  III Квартал  2025 - 2026 года (заказчик, название, краткое описание заказа, сроки реализации, стоимость), с предоставлением договора/соглашения на проведение работ</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Участвуют сотрудники Вашей кафедры в ред коллегии, консультативные советы журналов (в каких и до какого срока), статус журнала указать</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  Булатов Сергей Александрович - Редакционный советБулатов Сергей Александрович01.09.2025 0:00:0001.01.0001 0:00:00 Вестник НЦБЖД ВАК</w:t>
            </w: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Сотрудники кафедры, состоящие в руководящих и консультативных органах международных научных обществ и объединений</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Являются ли сотрудники кафедры членами Диссертационного совета (указать номер диссовета, название,  по какой специальности, ВУЗ, город, в качестве кого входит в состав диссовета (председатель, зам.председателя, секретарь, член совета))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b/>
                <w:sz w:val="23"/>
                <w:szCs w:val="23"/>
              </w:rPr>
              <w:t>Акты внедрения кафедры за  III Квартал  2025 - 2026 год с предоставлением копий в научный отдел</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Заявки, поданные на участие в конкурсах инновационного направления, с указанием темы, руководителя и исполнителя проекта, (ФИО обучающихся, группа), статуса заявки, суммы гранта.</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wordWrap w:val="1"/>
              <w:jc w:val="left"/>
            </w:pPr>
            <w:r>
              <w:rPr>
                <w:rFonts w:ascii="Times New Roman" w:hAnsi="Times New Roman"/>
                <w:sz w:val="23"/>
                <w:szCs w:val="23"/>
              </w:rPr>
              <w:t>Наличие совместных РИД (патентов) с другими организациями и учреждениями, из числа неучтенных РИД КГМУ. </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r>
              <w:rPr>
                <w:rFonts w:ascii="Times New Roman" w:hAnsi="Times New Roman"/>
                <w:sz w:val="23"/>
                <w:szCs w:val="23"/>
              </w:rPr>
              <w:t xml:space="preserve"> </w:t>
            </w:r>
          </w:p>
        </w:tc>
      </w:tr>
      <w:tr>
        <w:trPr>
          <w:cantSplit/>
          <w:trHeight w:val="0" w:hRule="auto"/>
        </w:trPr>
        <w:tc>
          <w:tcPr>
            <w:tcW w:w="6030" w:type="dxa"/>
            <w:gridSpan w:val="2"/>
            <w:tcBorders>
              <w:top w:val="single" w:sz="5" w:space="0" w:color="auto"/>
              <w:left w:val="single" w:sz="5" w:space="0" w:color="auto"/>
              <w:bottom w:val="single" w:sz="5" w:space="0" w:color="auto"/>
              <w:right w:val="single" w:sz="5" w:space="0" w:color="auto"/>
            </w:tcBorders>
            <w:shd w:val="clear" w:color="auto" w:fill="auto"/>
            <w:textDirection w:val="lrTb"/>
            <w:vAlign w:val="center"/>
          </w:tcPr>
          <w:p>
            <w:pPr>
              <w:spacing w:after="0"/>
              <w:jc w:val="left"/>
            </w:pPr>
            <w:r>
              <w:rPr>
                <w:rFonts w:ascii="Times New Roman" w:hAnsi="Times New Roman"/>
                <w:sz w:val="23"/>
                <w:szCs w:val="23"/>
              </w:rPr>
              <w:t>Свидетельство РИД</w:t>
            </w:r>
          </w:p>
        </w:tc>
        <w:tc>
          <w:tcPr>
            <w:tcW w:w="9645" w:type="dxa"/>
            <w:tcBorders>
              <w:top w:val="single" w:sz="5" w:space="0" w:color="auto"/>
              <w:left w:val="single" w:sz="5" w:space="0" w:color="auto"/>
              <w:bottom w:val="single" w:sz="5" w:space="0" w:color="auto"/>
              <w:right w:val="single" w:sz="5" w:space="0" w:color="auto"/>
            </w:tcBorders>
            <w:shd w:val="clear" w:color="auto" w:fill="auto"/>
            <w:textDirection w:val="lrTb"/>
            <w:vAlign w:val="bottom"/>
          </w:tcPr>
          <w:p>
            <w:pPr>
              <w:spacing w:after="0"/>
              <w:wordWrap w:val="1"/>
              <w:jc w:val="left"/>
            </w:pPr>
          </w:p>
        </w:tc>
      </w:tr>
    </w:tbl>
    <w:sectPr>
      <w:pgSz w:w="16839" w:h="11907" w:orient="landscape"/>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5"/>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